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84"/>
        <w:gridCol w:w="2693"/>
      </w:tblGrid>
      <w:tr w:rsidR="00167EFD" w:rsidRPr="009E2B84" w:rsidTr="00B9127D">
        <w:trPr>
          <w:gridAfter w:val="1"/>
          <w:wAfter w:w="2693" w:type="dxa"/>
          <w:cantSplit/>
          <w:trHeight w:val="569"/>
        </w:trPr>
        <w:tc>
          <w:tcPr>
            <w:tcW w:w="4786" w:type="dxa"/>
            <w:shd w:val="clear" w:color="auto" w:fill="BFBFBF"/>
            <w:vAlign w:val="center"/>
          </w:tcPr>
          <w:p w:rsidR="00167EFD" w:rsidRPr="009E2B84" w:rsidRDefault="00167EFD" w:rsidP="00B9127D">
            <w:pPr>
              <w:keepNext/>
              <w:shd w:val="clear" w:color="auto" w:fill="BFBFBF"/>
              <w:ind w:left="426" w:hanging="426"/>
              <w:jc w:val="center"/>
              <w:outlineLvl w:val="0"/>
              <w:rPr>
                <w:b/>
              </w:rPr>
            </w:pPr>
            <w:r>
              <w:rPr>
                <w:noProof/>
              </w:rPr>
              <w:drawing>
                <wp:anchor distT="0" distB="0" distL="114300" distR="114300" simplePos="0" relativeHeight="251659264" behindDoc="1" locked="0" layoutInCell="0" allowOverlap="1" wp14:anchorId="378532DB" wp14:editId="0BFCC9B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410" w:type="dxa"/>
            <w:gridSpan w:val="2"/>
            <w:shd w:val="clear" w:color="auto" w:fill="BFBFBF"/>
            <w:vAlign w:val="center"/>
          </w:tcPr>
          <w:p w:rsidR="00167EFD" w:rsidRPr="009E2B84" w:rsidRDefault="00167EFD" w:rsidP="00B9127D">
            <w:pPr>
              <w:jc w:val="center"/>
              <w:rPr>
                <w:b/>
              </w:rPr>
            </w:pPr>
            <w:r w:rsidRPr="009E2B84">
              <w:rPr>
                <w:b/>
              </w:rPr>
              <w:t>ON</w:t>
            </w:r>
          </w:p>
        </w:tc>
      </w:tr>
      <w:tr w:rsidR="00167EFD" w:rsidRPr="009E2B84" w:rsidTr="00B9127D">
        <w:trPr>
          <w:gridAfter w:val="1"/>
          <w:wAfter w:w="2693" w:type="dxa"/>
          <w:cantSplit/>
          <w:trHeight w:val="654"/>
        </w:trPr>
        <w:tc>
          <w:tcPr>
            <w:tcW w:w="4786" w:type="dxa"/>
            <w:tcBorders>
              <w:bottom w:val="nil"/>
            </w:tcBorders>
            <w:vAlign w:val="center"/>
          </w:tcPr>
          <w:p w:rsidR="00167EFD" w:rsidRPr="009E2B84" w:rsidRDefault="00167EFD" w:rsidP="00B9127D">
            <w:pPr>
              <w:jc w:val="center"/>
              <w:rPr>
                <w:b/>
                <w:sz w:val="24"/>
                <w:szCs w:val="24"/>
              </w:rPr>
            </w:pPr>
            <w:r>
              <w:rPr>
                <w:b/>
                <w:sz w:val="24"/>
                <w:szCs w:val="24"/>
              </w:rPr>
              <w:t xml:space="preserve">      Governance Committee</w:t>
            </w:r>
          </w:p>
        </w:tc>
        <w:tc>
          <w:tcPr>
            <w:tcW w:w="2410" w:type="dxa"/>
            <w:gridSpan w:val="2"/>
            <w:tcBorders>
              <w:bottom w:val="nil"/>
            </w:tcBorders>
            <w:vAlign w:val="center"/>
          </w:tcPr>
          <w:p w:rsidR="00167EFD" w:rsidRPr="00E467FE" w:rsidRDefault="00102C89" w:rsidP="00D618D0">
            <w:pPr>
              <w:jc w:val="center"/>
              <w:rPr>
                <w:b/>
                <w:szCs w:val="22"/>
              </w:rPr>
            </w:pPr>
            <w:r>
              <w:rPr>
                <w:b/>
                <w:szCs w:val="22"/>
              </w:rPr>
              <w:t>2</w:t>
            </w:r>
            <w:r w:rsidR="00D618D0">
              <w:rPr>
                <w:b/>
                <w:szCs w:val="22"/>
              </w:rPr>
              <w:t>4</w:t>
            </w:r>
            <w:r>
              <w:rPr>
                <w:b/>
                <w:szCs w:val="22"/>
              </w:rPr>
              <w:t xml:space="preserve"> </w:t>
            </w:r>
            <w:r w:rsidR="00D618D0">
              <w:rPr>
                <w:b/>
                <w:szCs w:val="22"/>
              </w:rPr>
              <w:t xml:space="preserve">September </w:t>
            </w:r>
            <w:r w:rsidR="00167EFD">
              <w:rPr>
                <w:b/>
                <w:szCs w:val="22"/>
              </w:rPr>
              <w:t>201</w:t>
            </w:r>
            <w:r w:rsidR="000D55A5">
              <w:rPr>
                <w:b/>
                <w:szCs w:val="22"/>
              </w:rPr>
              <w:t>9</w:t>
            </w:r>
          </w:p>
        </w:tc>
      </w:tr>
      <w:tr w:rsidR="00167EFD" w:rsidRPr="009E2B84" w:rsidTr="00B9127D">
        <w:trPr>
          <w:gridAfter w:val="1"/>
          <w:wAfter w:w="2693" w:type="dxa"/>
          <w:cantSplit/>
          <w:trHeight w:val="560"/>
        </w:trPr>
        <w:tc>
          <w:tcPr>
            <w:tcW w:w="7196" w:type="dxa"/>
            <w:gridSpan w:val="3"/>
            <w:tcBorders>
              <w:left w:val="nil"/>
              <w:right w:val="nil"/>
            </w:tcBorders>
          </w:tcPr>
          <w:p w:rsidR="00167EFD" w:rsidRPr="009E2B84" w:rsidRDefault="00167EFD" w:rsidP="00B9127D">
            <w:pPr>
              <w:jc w:val="right"/>
              <w:rPr>
                <w:sz w:val="8"/>
              </w:rPr>
            </w:pPr>
            <w:r>
              <w:rPr>
                <w:sz w:val="8"/>
              </w:rPr>
              <w:t xml:space="preserve">External Audit Annual </w:t>
            </w:r>
          </w:p>
        </w:tc>
      </w:tr>
      <w:tr w:rsidR="00167EFD" w:rsidRPr="009E2B84" w:rsidTr="00B9127D">
        <w:trPr>
          <w:cantSplit/>
        </w:trPr>
        <w:tc>
          <w:tcPr>
            <w:tcW w:w="6912" w:type="dxa"/>
            <w:gridSpan w:val="2"/>
            <w:shd w:val="clear" w:color="auto" w:fill="BFBFBF"/>
            <w:vAlign w:val="center"/>
          </w:tcPr>
          <w:p w:rsidR="00167EFD" w:rsidRPr="009E2B84" w:rsidRDefault="00167EFD" w:rsidP="00B9127D">
            <w:pPr>
              <w:jc w:val="center"/>
              <w:rPr>
                <w:b/>
              </w:rPr>
            </w:pPr>
            <w:r w:rsidRPr="009E2B84">
              <w:rPr>
                <w:b/>
              </w:rPr>
              <w:t>TITLE</w:t>
            </w:r>
          </w:p>
        </w:tc>
        <w:tc>
          <w:tcPr>
            <w:tcW w:w="2977" w:type="dxa"/>
            <w:gridSpan w:val="2"/>
            <w:shd w:val="clear" w:color="auto" w:fill="BFBFBF"/>
            <w:vAlign w:val="center"/>
          </w:tcPr>
          <w:p w:rsidR="00167EFD" w:rsidRPr="009E2B84" w:rsidRDefault="00167EFD" w:rsidP="00B9127D">
            <w:pPr>
              <w:jc w:val="center"/>
              <w:rPr>
                <w:b/>
              </w:rPr>
            </w:pPr>
            <w:r>
              <w:rPr>
                <w:b/>
              </w:rPr>
              <w:t>REPORT OF</w:t>
            </w:r>
          </w:p>
        </w:tc>
      </w:tr>
      <w:tr w:rsidR="00167EFD" w:rsidRPr="009E2B84" w:rsidTr="00B9127D">
        <w:trPr>
          <w:cantSplit/>
          <w:trHeight w:val="1038"/>
        </w:trPr>
        <w:tc>
          <w:tcPr>
            <w:tcW w:w="6912" w:type="dxa"/>
            <w:gridSpan w:val="2"/>
            <w:vAlign w:val="center"/>
          </w:tcPr>
          <w:p w:rsidR="00167EFD" w:rsidRPr="009E2B84" w:rsidRDefault="00102C89" w:rsidP="00102C89">
            <w:pPr>
              <w:jc w:val="center"/>
              <w:rPr>
                <w:b/>
              </w:rPr>
            </w:pPr>
            <w:r>
              <w:rPr>
                <w:b/>
              </w:rPr>
              <w:t>Treasury Management Annual Report 2018/19</w:t>
            </w:r>
            <w:r w:rsidR="00850737">
              <w:rPr>
                <w:b/>
              </w:rPr>
              <w:t xml:space="preserve"> and June Quarter Monitoring 2019/20</w:t>
            </w:r>
          </w:p>
        </w:tc>
        <w:tc>
          <w:tcPr>
            <w:tcW w:w="2977" w:type="dxa"/>
            <w:gridSpan w:val="2"/>
            <w:vAlign w:val="center"/>
          </w:tcPr>
          <w:p w:rsidR="00167EFD" w:rsidRPr="00855A80" w:rsidRDefault="009C32DA" w:rsidP="009C32DA">
            <w:pPr>
              <w:tabs>
                <w:tab w:val="left" w:pos="2839"/>
              </w:tabs>
              <w:jc w:val="center"/>
              <w:rPr>
                <w:b/>
                <w:i/>
              </w:rPr>
            </w:pPr>
            <w:r>
              <w:rPr>
                <w:rFonts w:cs="Arial"/>
                <w:b/>
              </w:rPr>
              <w:t xml:space="preserve">Interim </w:t>
            </w:r>
            <w:r w:rsidR="00850737">
              <w:rPr>
                <w:rFonts w:cs="Arial"/>
                <w:b/>
              </w:rPr>
              <w:t>S151 Officer</w:t>
            </w:r>
          </w:p>
        </w:tc>
      </w:tr>
    </w:tbl>
    <w:p w:rsidR="00167EFD" w:rsidRPr="009E2B84" w:rsidRDefault="00167EFD" w:rsidP="00167EFD"/>
    <w:p w:rsidR="00167EFD" w:rsidRDefault="00167EFD" w:rsidP="00167EFD">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67EFD" w:rsidRPr="009C1143" w:rsidTr="00B9127D">
        <w:trPr>
          <w:trHeight w:val="521"/>
        </w:trPr>
        <w:tc>
          <w:tcPr>
            <w:tcW w:w="6652" w:type="dxa"/>
            <w:shd w:val="clear" w:color="auto" w:fill="auto"/>
          </w:tcPr>
          <w:p w:rsidR="00167EFD" w:rsidRDefault="00167EFD" w:rsidP="00B9127D">
            <w:pPr>
              <w:rPr>
                <w:szCs w:val="22"/>
              </w:rPr>
            </w:pPr>
          </w:p>
          <w:p w:rsidR="00167EFD" w:rsidRDefault="00167EFD" w:rsidP="00B9127D">
            <w:pPr>
              <w:rPr>
                <w:szCs w:val="22"/>
              </w:rPr>
            </w:pPr>
            <w:r>
              <w:rPr>
                <w:szCs w:val="22"/>
              </w:rPr>
              <w:t>Is this report confidential?</w:t>
            </w:r>
          </w:p>
          <w:p w:rsidR="00167EFD" w:rsidRPr="009C1143" w:rsidRDefault="00167EFD" w:rsidP="00B9127D">
            <w:pPr>
              <w:rPr>
                <w:szCs w:val="22"/>
              </w:rPr>
            </w:pPr>
          </w:p>
        </w:tc>
        <w:tc>
          <w:tcPr>
            <w:tcW w:w="3266" w:type="dxa"/>
            <w:shd w:val="clear" w:color="auto" w:fill="auto"/>
          </w:tcPr>
          <w:p w:rsidR="00167EFD" w:rsidRDefault="00167EFD" w:rsidP="00B9127D">
            <w:pPr>
              <w:rPr>
                <w:b/>
                <w:szCs w:val="22"/>
              </w:rPr>
            </w:pPr>
            <w:r w:rsidRPr="00F3057A">
              <w:rPr>
                <w:b/>
                <w:szCs w:val="22"/>
              </w:rPr>
              <w:t xml:space="preserve"> </w:t>
            </w:r>
          </w:p>
          <w:p w:rsidR="00167EFD" w:rsidRPr="009C1143" w:rsidRDefault="00167EFD" w:rsidP="00B9127D">
            <w:pPr>
              <w:rPr>
                <w:szCs w:val="22"/>
              </w:rPr>
            </w:pPr>
            <w:r w:rsidRPr="00F3057A">
              <w:rPr>
                <w:b/>
                <w:szCs w:val="22"/>
              </w:rPr>
              <w:t xml:space="preserve">No </w:t>
            </w:r>
          </w:p>
        </w:tc>
      </w:tr>
    </w:tbl>
    <w:p w:rsidR="00167EFD" w:rsidRDefault="00167EFD" w:rsidP="00167EFD">
      <w:pPr>
        <w:jc w:val="both"/>
        <w:rPr>
          <w:sz w:val="16"/>
          <w:szCs w:val="16"/>
        </w:rPr>
      </w:pPr>
    </w:p>
    <w:p w:rsidR="00167EFD" w:rsidRPr="009C1143" w:rsidRDefault="00167EFD" w:rsidP="00167EFD">
      <w:pPr>
        <w:jc w:val="both"/>
        <w:rPr>
          <w:sz w:val="16"/>
          <w:szCs w:val="16"/>
        </w:rPr>
      </w:pPr>
    </w:p>
    <w:p w:rsidR="00167EFD" w:rsidRDefault="00167EFD" w:rsidP="00167EFD">
      <w:pPr>
        <w:keepNext/>
        <w:numPr>
          <w:ilvl w:val="0"/>
          <w:numId w:val="1"/>
        </w:numPr>
        <w:jc w:val="both"/>
        <w:outlineLvl w:val="0"/>
        <w:rPr>
          <w:b/>
          <w:szCs w:val="22"/>
        </w:rPr>
      </w:pPr>
      <w:r w:rsidRPr="009C1143">
        <w:rPr>
          <w:b/>
          <w:szCs w:val="22"/>
        </w:rPr>
        <w:t xml:space="preserve">PURPOSE OF THE REPORT </w:t>
      </w:r>
    </w:p>
    <w:p w:rsidR="00167EFD" w:rsidRPr="00167EFD" w:rsidRDefault="00167EFD" w:rsidP="00167EFD">
      <w:pPr>
        <w:keepNext/>
        <w:jc w:val="both"/>
        <w:outlineLvl w:val="0"/>
        <w:rPr>
          <w:rStyle w:val="Emphasis"/>
          <w:b/>
          <w:i w:val="0"/>
          <w:iCs w:val="0"/>
          <w:szCs w:val="22"/>
        </w:rPr>
      </w:pPr>
      <w:r w:rsidRPr="009C1143">
        <w:rPr>
          <w:b/>
          <w:szCs w:val="22"/>
        </w:rPr>
        <w:t xml:space="preserve"> </w:t>
      </w:r>
    </w:p>
    <w:p w:rsidR="00167EFD" w:rsidRPr="0002245B" w:rsidRDefault="00167EFD" w:rsidP="00167EFD">
      <w:pPr>
        <w:keepNext/>
        <w:numPr>
          <w:ilvl w:val="1"/>
          <w:numId w:val="1"/>
        </w:numPr>
        <w:ind w:hanging="436"/>
        <w:jc w:val="both"/>
        <w:outlineLvl w:val="0"/>
        <w:rPr>
          <w:b/>
          <w:szCs w:val="22"/>
        </w:rPr>
      </w:pPr>
      <w:r w:rsidRPr="008113D8">
        <w:rPr>
          <w:szCs w:val="22"/>
        </w:rPr>
        <w:t xml:space="preserve">To </w:t>
      </w:r>
      <w:r w:rsidR="00F55AEC">
        <w:rPr>
          <w:szCs w:val="22"/>
        </w:rPr>
        <w:t>present the outturn for Treasury Management activity in financial year 2018/19.</w:t>
      </w:r>
    </w:p>
    <w:p w:rsidR="0002245B" w:rsidRPr="000340A2" w:rsidRDefault="0002245B" w:rsidP="00167EFD">
      <w:pPr>
        <w:keepNext/>
        <w:numPr>
          <w:ilvl w:val="1"/>
          <w:numId w:val="1"/>
        </w:numPr>
        <w:ind w:hanging="436"/>
        <w:jc w:val="both"/>
        <w:outlineLvl w:val="0"/>
        <w:rPr>
          <w:b/>
          <w:szCs w:val="22"/>
        </w:rPr>
      </w:pPr>
      <w:r>
        <w:rPr>
          <w:szCs w:val="22"/>
        </w:rPr>
        <w:t>To present monitoring information for the quarter to June 2019.</w:t>
      </w:r>
    </w:p>
    <w:p w:rsidR="00167EFD" w:rsidRDefault="00167EFD" w:rsidP="00167EFD">
      <w:pPr>
        <w:ind w:left="360"/>
        <w:jc w:val="both"/>
        <w:rPr>
          <w:szCs w:val="22"/>
        </w:rPr>
      </w:pPr>
    </w:p>
    <w:p w:rsidR="00F55AEC" w:rsidRPr="009C1143" w:rsidRDefault="00F55AEC" w:rsidP="00167EFD">
      <w:pPr>
        <w:ind w:left="360"/>
        <w:jc w:val="both"/>
        <w:rPr>
          <w:szCs w:val="22"/>
        </w:rPr>
      </w:pPr>
    </w:p>
    <w:p w:rsidR="00167EFD" w:rsidRDefault="00167EFD" w:rsidP="00167EFD">
      <w:pPr>
        <w:keepNext/>
        <w:numPr>
          <w:ilvl w:val="0"/>
          <w:numId w:val="1"/>
        </w:numPr>
        <w:jc w:val="both"/>
        <w:outlineLvl w:val="0"/>
        <w:rPr>
          <w:b/>
          <w:szCs w:val="22"/>
        </w:rPr>
      </w:pPr>
      <w:r w:rsidRPr="009C1143">
        <w:rPr>
          <w:b/>
          <w:szCs w:val="22"/>
        </w:rPr>
        <w:t>RECOMMENDATIONS</w:t>
      </w:r>
    </w:p>
    <w:p w:rsidR="00167EFD" w:rsidRPr="009C1143" w:rsidRDefault="00167EFD" w:rsidP="00167EFD">
      <w:pPr>
        <w:keepNext/>
        <w:jc w:val="both"/>
        <w:outlineLvl w:val="0"/>
        <w:rPr>
          <w:b/>
          <w:szCs w:val="22"/>
        </w:rPr>
      </w:pPr>
    </w:p>
    <w:p w:rsidR="00167EFD" w:rsidRPr="001B0F1F" w:rsidRDefault="005D5632" w:rsidP="00167EFD">
      <w:pPr>
        <w:numPr>
          <w:ilvl w:val="1"/>
          <w:numId w:val="1"/>
        </w:numPr>
        <w:jc w:val="both"/>
        <w:rPr>
          <w:szCs w:val="22"/>
        </w:rPr>
      </w:pPr>
      <w:r>
        <w:rPr>
          <w:szCs w:val="22"/>
        </w:rPr>
        <w:t xml:space="preserve"> </w:t>
      </w:r>
      <w:r w:rsidR="00167EFD">
        <w:rPr>
          <w:szCs w:val="22"/>
        </w:rPr>
        <w:t>Members are asked to note the report</w:t>
      </w:r>
      <w:r w:rsidR="00167EFD" w:rsidRPr="005320E9">
        <w:rPr>
          <w:szCs w:val="22"/>
        </w:rPr>
        <w:t>.</w:t>
      </w:r>
    </w:p>
    <w:p w:rsidR="00167EFD" w:rsidRPr="009C1143" w:rsidRDefault="00167EFD" w:rsidP="00167EFD">
      <w:pPr>
        <w:jc w:val="both"/>
        <w:rPr>
          <w:i/>
          <w:color w:val="2E74B5"/>
          <w:szCs w:val="22"/>
        </w:rPr>
      </w:pPr>
    </w:p>
    <w:p w:rsidR="00167EFD" w:rsidRPr="009C1143" w:rsidRDefault="00167EFD" w:rsidP="00167EFD">
      <w:pPr>
        <w:jc w:val="both"/>
        <w:rPr>
          <w:sz w:val="16"/>
          <w:szCs w:val="16"/>
        </w:rPr>
      </w:pPr>
    </w:p>
    <w:p w:rsidR="00167EFD" w:rsidRDefault="00167EFD" w:rsidP="00167EFD">
      <w:pPr>
        <w:keepNext/>
        <w:numPr>
          <w:ilvl w:val="0"/>
          <w:numId w:val="1"/>
        </w:numPr>
        <w:jc w:val="both"/>
        <w:outlineLvl w:val="0"/>
        <w:rPr>
          <w:b/>
          <w:szCs w:val="22"/>
        </w:rPr>
      </w:pPr>
      <w:r w:rsidRPr="009C1143">
        <w:rPr>
          <w:b/>
          <w:szCs w:val="22"/>
        </w:rPr>
        <w:t>CORPORATE PRIORITIES</w:t>
      </w:r>
    </w:p>
    <w:p w:rsidR="00167EFD" w:rsidRPr="009C1143" w:rsidRDefault="00167EFD" w:rsidP="00167EFD">
      <w:pPr>
        <w:keepNext/>
        <w:jc w:val="both"/>
        <w:outlineLvl w:val="0"/>
        <w:rPr>
          <w:b/>
          <w:szCs w:val="22"/>
        </w:rPr>
      </w:pPr>
    </w:p>
    <w:p w:rsidR="00167EFD" w:rsidRDefault="00167EFD" w:rsidP="00167EFD">
      <w:pPr>
        <w:keepNext/>
        <w:ind w:left="360"/>
        <w:jc w:val="both"/>
        <w:outlineLvl w:val="0"/>
        <w:rPr>
          <w:b/>
          <w:szCs w:val="22"/>
        </w:rPr>
      </w:pPr>
      <w:r w:rsidRPr="009C1143">
        <w:rPr>
          <w:szCs w:val="22"/>
        </w:rPr>
        <w:t>The report relates to the following corporate priorities</w:t>
      </w:r>
      <w:r w:rsidRPr="009C1143">
        <w:rPr>
          <w:b/>
          <w:szCs w:val="22"/>
        </w:rPr>
        <w:t xml:space="preserve"> </w:t>
      </w:r>
    </w:p>
    <w:p w:rsidR="00167EFD" w:rsidRDefault="00167EFD" w:rsidP="00167EFD">
      <w:pPr>
        <w:keepNext/>
        <w:ind w:left="360"/>
        <w:jc w:val="both"/>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7EFD" w:rsidRPr="008770BE" w:rsidTr="00B9127D">
        <w:tc>
          <w:tcPr>
            <w:tcW w:w="4423" w:type="dxa"/>
            <w:shd w:val="clear" w:color="auto" w:fill="auto"/>
          </w:tcPr>
          <w:p w:rsidR="00167EFD" w:rsidRPr="000828CC" w:rsidRDefault="00167EFD" w:rsidP="00B9127D">
            <w:pPr>
              <w:rPr>
                <w:szCs w:val="22"/>
              </w:rPr>
            </w:pPr>
            <w:r w:rsidRPr="000828CC">
              <w:rPr>
                <w:szCs w:val="22"/>
              </w:rPr>
              <w:t>Excellence and Financial Sustainability</w:t>
            </w:r>
          </w:p>
          <w:p w:rsidR="00167EFD" w:rsidRPr="000828CC" w:rsidRDefault="00167EFD" w:rsidP="00B9127D">
            <w:pPr>
              <w:rPr>
                <w:szCs w:val="22"/>
              </w:rPr>
            </w:pPr>
          </w:p>
        </w:tc>
        <w:tc>
          <w:tcPr>
            <w:tcW w:w="850" w:type="dxa"/>
            <w:shd w:val="clear" w:color="auto" w:fill="auto"/>
          </w:tcPr>
          <w:p w:rsidR="00167EFD" w:rsidRPr="008770BE" w:rsidRDefault="00167EFD" w:rsidP="00B9127D">
            <w:pPr>
              <w:rPr>
                <w:szCs w:val="22"/>
                <w:highlight w:val="yellow"/>
              </w:rPr>
            </w:pPr>
            <w:r w:rsidRPr="00691A67">
              <w:rPr>
                <w:sz w:val="44"/>
                <w:szCs w:val="44"/>
              </w:rPr>
              <w:sym w:font="Wingdings" w:char="F0FC"/>
            </w:r>
          </w:p>
        </w:tc>
      </w:tr>
      <w:tr w:rsidR="00167EFD" w:rsidRPr="008770BE" w:rsidTr="00B9127D">
        <w:tc>
          <w:tcPr>
            <w:tcW w:w="4423" w:type="dxa"/>
            <w:shd w:val="clear" w:color="auto" w:fill="auto"/>
          </w:tcPr>
          <w:p w:rsidR="00167EFD" w:rsidRPr="000828CC" w:rsidRDefault="00167EFD" w:rsidP="00B9127D">
            <w:pPr>
              <w:rPr>
                <w:szCs w:val="22"/>
              </w:rPr>
            </w:pPr>
            <w:r w:rsidRPr="000828CC">
              <w:rPr>
                <w:szCs w:val="22"/>
              </w:rPr>
              <w:t>Health and Wellbeing</w:t>
            </w:r>
          </w:p>
          <w:p w:rsidR="00167EFD" w:rsidRPr="000828CC" w:rsidRDefault="00167EFD" w:rsidP="00B9127D">
            <w:pPr>
              <w:rPr>
                <w:szCs w:val="22"/>
              </w:rPr>
            </w:pPr>
          </w:p>
        </w:tc>
        <w:tc>
          <w:tcPr>
            <w:tcW w:w="850" w:type="dxa"/>
            <w:shd w:val="clear" w:color="auto" w:fill="auto"/>
          </w:tcPr>
          <w:p w:rsidR="00167EFD" w:rsidRPr="008770BE" w:rsidRDefault="00167EFD" w:rsidP="00B9127D">
            <w:pPr>
              <w:rPr>
                <w:szCs w:val="22"/>
                <w:highlight w:val="yellow"/>
              </w:rPr>
            </w:pPr>
          </w:p>
        </w:tc>
      </w:tr>
      <w:tr w:rsidR="00167EFD" w:rsidRPr="009C1143" w:rsidTr="00B9127D">
        <w:tc>
          <w:tcPr>
            <w:tcW w:w="4423" w:type="dxa"/>
            <w:shd w:val="clear" w:color="auto" w:fill="auto"/>
          </w:tcPr>
          <w:p w:rsidR="00167EFD" w:rsidRPr="000828CC" w:rsidRDefault="00167EFD" w:rsidP="00B9127D">
            <w:pPr>
              <w:rPr>
                <w:szCs w:val="22"/>
              </w:rPr>
            </w:pPr>
            <w:r w:rsidRPr="000828CC">
              <w:rPr>
                <w:szCs w:val="22"/>
              </w:rPr>
              <w:t>Place</w:t>
            </w:r>
          </w:p>
          <w:p w:rsidR="00167EFD" w:rsidRPr="000828CC" w:rsidRDefault="00167EFD" w:rsidP="00B9127D">
            <w:pPr>
              <w:rPr>
                <w:szCs w:val="22"/>
              </w:rPr>
            </w:pPr>
          </w:p>
        </w:tc>
        <w:tc>
          <w:tcPr>
            <w:tcW w:w="850" w:type="dxa"/>
            <w:shd w:val="clear" w:color="auto" w:fill="auto"/>
          </w:tcPr>
          <w:p w:rsidR="00167EFD" w:rsidRPr="009C1143" w:rsidRDefault="00167EFD" w:rsidP="00B9127D">
            <w:pPr>
              <w:rPr>
                <w:szCs w:val="22"/>
              </w:rPr>
            </w:pPr>
          </w:p>
        </w:tc>
      </w:tr>
    </w:tbl>
    <w:p w:rsidR="00167EFD" w:rsidRDefault="00167EFD" w:rsidP="00167EFD"/>
    <w:p w:rsidR="00167EFD" w:rsidRDefault="00167EFD" w:rsidP="00167EFD">
      <w:pPr>
        <w:ind w:firstLine="720"/>
      </w:pPr>
      <w:r>
        <w:t>Projects relating to People in the Corporate Plan:</w:t>
      </w:r>
    </w:p>
    <w:p w:rsidR="00167EFD" w:rsidRDefault="00167EFD" w:rsidP="00167EFD">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7EFD" w:rsidRPr="009C1143" w:rsidTr="00B9127D">
        <w:tc>
          <w:tcPr>
            <w:tcW w:w="4423" w:type="dxa"/>
            <w:shd w:val="clear" w:color="auto" w:fill="auto"/>
          </w:tcPr>
          <w:p w:rsidR="00167EFD" w:rsidRDefault="00167EFD" w:rsidP="00B9127D">
            <w:pPr>
              <w:rPr>
                <w:szCs w:val="22"/>
              </w:rPr>
            </w:pPr>
            <w:r>
              <w:rPr>
                <w:szCs w:val="22"/>
              </w:rPr>
              <w:t xml:space="preserve">People </w:t>
            </w:r>
          </w:p>
          <w:p w:rsidR="00167EFD" w:rsidRPr="000828CC" w:rsidRDefault="00167EFD" w:rsidP="00B9127D">
            <w:pPr>
              <w:rPr>
                <w:szCs w:val="22"/>
              </w:rPr>
            </w:pPr>
          </w:p>
        </w:tc>
        <w:tc>
          <w:tcPr>
            <w:tcW w:w="850" w:type="dxa"/>
            <w:shd w:val="clear" w:color="auto" w:fill="auto"/>
          </w:tcPr>
          <w:p w:rsidR="00167EFD" w:rsidRPr="009C1143" w:rsidRDefault="00167EFD" w:rsidP="00B9127D">
            <w:pPr>
              <w:rPr>
                <w:szCs w:val="22"/>
              </w:rPr>
            </w:pPr>
          </w:p>
        </w:tc>
      </w:tr>
    </w:tbl>
    <w:p w:rsidR="00167EFD" w:rsidRDefault="00167EFD" w:rsidP="0076636B">
      <w:pPr>
        <w:pStyle w:val="NoSpacing"/>
      </w:pPr>
    </w:p>
    <w:p w:rsidR="0076636B" w:rsidRDefault="0076636B" w:rsidP="0076636B">
      <w:pPr>
        <w:pStyle w:val="NoSpacing"/>
      </w:pPr>
    </w:p>
    <w:p w:rsidR="0076636B" w:rsidRDefault="0076636B" w:rsidP="0076636B">
      <w:pPr>
        <w:pStyle w:val="NoSpacing"/>
      </w:pPr>
    </w:p>
    <w:p w:rsidR="0076636B" w:rsidRDefault="0076636B" w:rsidP="0076636B">
      <w:pPr>
        <w:pStyle w:val="NoSpacing"/>
      </w:pPr>
    </w:p>
    <w:p w:rsidR="0076636B" w:rsidRDefault="0076636B" w:rsidP="0076636B">
      <w:pPr>
        <w:pStyle w:val="NoSpacing"/>
      </w:pPr>
    </w:p>
    <w:p w:rsidR="0076636B" w:rsidRDefault="0076636B" w:rsidP="0076636B">
      <w:pPr>
        <w:pStyle w:val="NoSpacing"/>
      </w:pPr>
    </w:p>
    <w:p w:rsidR="00A5653A" w:rsidRPr="009C1143" w:rsidRDefault="00A5653A" w:rsidP="0076636B">
      <w:pPr>
        <w:pStyle w:val="NoSpacing"/>
      </w:pPr>
    </w:p>
    <w:p w:rsidR="00167EFD" w:rsidRDefault="00167EFD" w:rsidP="00167EFD">
      <w:pPr>
        <w:keepNext/>
        <w:numPr>
          <w:ilvl w:val="0"/>
          <w:numId w:val="1"/>
        </w:numPr>
        <w:jc w:val="both"/>
        <w:outlineLvl w:val="0"/>
        <w:rPr>
          <w:szCs w:val="22"/>
        </w:rPr>
      </w:pPr>
      <w:r w:rsidRPr="00167EFD">
        <w:rPr>
          <w:b/>
          <w:szCs w:val="22"/>
        </w:rPr>
        <w:lastRenderedPageBreak/>
        <w:t>BACKGROUND TO THE REPORT</w:t>
      </w:r>
    </w:p>
    <w:p w:rsidR="00167EFD" w:rsidRPr="00167EFD" w:rsidRDefault="00167EFD" w:rsidP="00167EFD">
      <w:pPr>
        <w:keepNext/>
        <w:ind w:left="360"/>
        <w:jc w:val="both"/>
        <w:outlineLvl w:val="0"/>
        <w:rPr>
          <w:szCs w:val="22"/>
        </w:rPr>
      </w:pPr>
    </w:p>
    <w:p w:rsidR="00167EFD" w:rsidRDefault="00F55AEC" w:rsidP="00167EFD">
      <w:pPr>
        <w:keepNext/>
        <w:numPr>
          <w:ilvl w:val="1"/>
          <w:numId w:val="1"/>
        </w:numPr>
        <w:tabs>
          <w:tab w:val="num" w:pos="360"/>
        </w:tabs>
        <w:ind w:hanging="436"/>
        <w:jc w:val="both"/>
        <w:outlineLvl w:val="0"/>
        <w:rPr>
          <w:szCs w:val="22"/>
        </w:rPr>
      </w:pPr>
      <w:r w:rsidRPr="00F55AEC">
        <w:rPr>
          <w:szCs w:val="22"/>
        </w:rPr>
        <w:t>The Treas</w:t>
      </w:r>
      <w:r>
        <w:rPr>
          <w:szCs w:val="22"/>
        </w:rPr>
        <w:t>ury Strategy for 2018/19 to 2022/23 was approved by Council on 28 February 2018. The strategy included prudential and treasury indicators, the treasury management strategy, the annual investment strategy, and the annual Minimum Revenue Provision (MRP) Policy.</w:t>
      </w:r>
    </w:p>
    <w:p w:rsidR="007E7BCD" w:rsidRDefault="007E7BCD" w:rsidP="007E7BCD">
      <w:pPr>
        <w:keepNext/>
        <w:ind w:left="720"/>
        <w:jc w:val="both"/>
        <w:outlineLvl w:val="0"/>
        <w:rPr>
          <w:szCs w:val="22"/>
        </w:rPr>
      </w:pPr>
    </w:p>
    <w:p w:rsidR="007E7BCD" w:rsidRPr="007E7BCD" w:rsidRDefault="007E7BCD" w:rsidP="007E7BCD">
      <w:pPr>
        <w:keepNext/>
        <w:numPr>
          <w:ilvl w:val="1"/>
          <w:numId w:val="1"/>
        </w:numPr>
        <w:jc w:val="both"/>
        <w:outlineLvl w:val="0"/>
        <w:rPr>
          <w:szCs w:val="22"/>
        </w:rPr>
      </w:pPr>
      <w:r>
        <w:rPr>
          <w:szCs w:val="22"/>
        </w:rPr>
        <w:t>A mid-year review of Treasury Management activity was presented to Governance Committee on 22 November 2018. In addition, an assessment of amended investment strategy options for 2018/</w:t>
      </w:r>
      <w:r w:rsidR="006612D2">
        <w:rPr>
          <w:szCs w:val="22"/>
        </w:rPr>
        <w:t xml:space="preserve">19 was presented to Council on </w:t>
      </w:r>
      <w:r w:rsidR="006612D2" w:rsidRPr="0002245B">
        <w:rPr>
          <w:szCs w:val="22"/>
        </w:rPr>
        <w:t>5</w:t>
      </w:r>
      <w:r w:rsidRPr="0002245B">
        <w:rPr>
          <w:szCs w:val="22"/>
        </w:rPr>
        <w:t xml:space="preserve"> D</w:t>
      </w:r>
      <w:r w:rsidRPr="002E65B3">
        <w:rPr>
          <w:szCs w:val="22"/>
        </w:rPr>
        <w:t>ecember</w:t>
      </w:r>
      <w:r>
        <w:rPr>
          <w:szCs w:val="22"/>
        </w:rPr>
        <w:t xml:space="preserve"> 2018. Council approved the addition of LVNAV Money Market Funds to the list of investment counterparties, and an increase in the maximum investment limit for UK local authorities, banks and building societies to £6m (per group or independent institution, as appropriate).</w:t>
      </w:r>
    </w:p>
    <w:p w:rsidR="00F55AEC" w:rsidRDefault="00F55AEC" w:rsidP="00F55AEC">
      <w:pPr>
        <w:keepNext/>
        <w:ind w:left="720"/>
        <w:jc w:val="both"/>
        <w:outlineLvl w:val="0"/>
        <w:rPr>
          <w:szCs w:val="22"/>
        </w:rPr>
      </w:pPr>
    </w:p>
    <w:p w:rsidR="00F55AEC" w:rsidRDefault="00F55AEC" w:rsidP="00167EFD">
      <w:pPr>
        <w:keepNext/>
        <w:numPr>
          <w:ilvl w:val="1"/>
          <w:numId w:val="1"/>
        </w:numPr>
        <w:tabs>
          <w:tab w:val="num" w:pos="360"/>
        </w:tabs>
        <w:ind w:hanging="436"/>
        <w:jc w:val="both"/>
        <w:outlineLvl w:val="0"/>
        <w:rPr>
          <w:szCs w:val="22"/>
        </w:rPr>
      </w:pPr>
      <w:r>
        <w:rPr>
          <w:szCs w:val="22"/>
        </w:rPr>
        <w:t>On 27 February 2019, Council approved the Treasury Management Policy Statement for 2019/20, which included revised prudential and treasury indicators for 2018/19. Where relevant, comparisons with 2018/19 indicators in this outturn report are to those approved most recently.</w:t>
      </w:r>
    </w:p>
    <w:p w:rsidR="00485652" w:rsidRDefault="00485652" w:rsidP="00485652">
      <w:pPr>
        <w:keepNext/>
        <w:jc w:val="both"/>
        <w:outlineLvl w:val="0"/>
        <w:rPr>
          <w:szCs w:val="22"/>
        </w:rPr>
      </w:pPr>
    </w:p>
    <w:p w:rsidR="00485652" w:rsidRPr="00F55AEC" w:rsidRDefault="00485652" w:rsidP="00167EFD">
      <w:pPr>
        <w:keepNext/>
        <w:numPr>
          <w:ilvl w:val="1"/>
          <w:numId w:val="1"/>
        </w:numPr>
        <w:tabs>
          <w:tab w:val="num" w:pos="360"/>
        </w:tabs>
        <w:ind w:hanging="436"/>
        <w:jc w:val="both"/>
        <w:outlineLvl w:val="0"/>
        <w:rPr>
          <w:szCs w:val="22"/>
        </w:rPr>
      </w:pPr>
      <w:r>
        <w:rPr>
          <w:szCs w:val="22"/>
        </w:rPr>
        <w:t>A glossary of technical terms used in the report is presented as Appendix H.</w:t>
      </w:r>
    </w:p>
    <w:p w:rsidR="00167EFD" w:rsidRDefault="00167EFD" w:rsidP="00167EFD">
      <w:pPr>
        <w:ind w:left="360"/>
        <w:jc w:val="both"/>
        <w:rPr>
          <w:b/>
          <w:szCs w:val="22"/>
        </w:rPr>
      </w:pPr>
    </w:p>
    <w:p w:rsidR="00167EFD" w:rsidRDefault="00167EFD" w:rsidP="00167EFD">
      <w:pPr>
        <w:ind w:left="360"/>
        <w:jc w:val="both"/>
        <w:rPr>
          <w:b/>
          <w:szCs w:val="22"/>
        </w:rPr>
      </w:pPr>
    </w:p>
    <w:p w:rsidR="00F63C06" w:rsidRPr="00F63C06" w:rsidRDefault="005F6DFF" w:rsidP="00F63C06">
      <w:pPr>
        <w:numPr>
          <w:ilvl w:val="0"/>
          <w:numId w:val="1"/>
        </w:numPr>
        <w:jc w:val="both"/>
        <w:rPr>
          <w:b/>
          <w:szCs w:val="22"/>
        </w:rPr>
      </w:pPr>
      <w:r>
        <w:rPr>
          <w:b/>
          <w:szCs w:val="22"/>
        </w:rPr>
        <w:t>THE COUNCIL’S CAPITAL EXPENDITURE AND FINANCING</w:t>
      </w:r>
    </w:p>
    <w:p w:rsidR="00167EFD" w:rsidRDefault="00167EFD" w:rsidP="00167EFD">
      <w:pPr>
        <w:jc w:val="both"/>
        <w:rPr>
          <w:b/>
          <w:szCs w:val="22"/>
        </w:rPr>
      </w:pPr>
    </w:p>
    <w:p w:rsidR="005F6DFF" w:rsidRPr="005F6DFF" w:rsidRDefault="005F6DFF" w:rsidP="00F63C06">
      <w:pPr>
        <w:keepNext/>
        <w:numPr>
          <w:ilvl w:val="1"/>
          <w:numId w:val="1"/>
        </w:numPr>
        <w:ind w:left="709" w:hanging="425"/>
        <w:jc w:val="both"/>
        <w:outlineLvl w:val="0"/>
        <w:rPr>
          <w:rFonts w:cs="Arial"/>
          <w:szCs w:val="22"/>
        </w:rPr>
      </w:pPr>
      <w:r>
        <w:rPr>
          <w:szCs w:val="22"/>
        </w:rPr>
        <w:t>The Council undertakes capital expenditure on long-term activities. These activities may either be:</w:t>
      </w:r>
    </w:p>
    <w:p w:rsidR="00F63C06" w:rsidRDefault="005F6DFF" w:rsidP="005F6DFF">
      <w:pPr>
        <w:pStyle w:val="ListParagraph"/>
        <w:keepNext/>
        <w:numPr>
          <w:ilvl w:val="0"/>
          <w:numId w:val="10"/>
        </w:numPr>
        <w:jc w:val="both"/>
        <w:outlineLvl w:val="0"/>
        <w:rPr>
          <w:rFonts w:ascii="Arial" w:hAnsi="Arial" w:cs="Arial"/>
        </w:rPr>
      </w:pPr>
      <w:r w:rsidRPr="005F6DFF">
        <w:rPr>
          <w:rFonts w:ascii="Arial" w:hAnsi="Arial" w:cs="Arial"/>
        </w:rPr>
        <w:t>Financed immediately through the application of capital or revenue resources (capital receipts, capital grants, revenue contributions e</w:t>
      </w:r>
      <w:r>
        <w:rPr>
          <w:rFonts w:ascii="Arial" w:hAnsi="Arial" w:cs="Arial"/>
        </w:rPr>
        <w:t>tc.), which has no resultant im</w:t>
      </w:r>
      <w:r w:rsidRPr="005F6DFF">
        <w:rPr>
          <w:rFonts w:ascii="Arial" w:hAnsi="Arial" w:cs="Arial"/>
        </w:rPr>
        <w:t>pact on the Council’s borrowing need; or</w:t>
      </w:r>
    </w:p>
    <w:p w:rsidR="005F6DFF" w:rsidRPr="005F6DFF" w:rsidRDefault="005F6DFF" w:rsidP="005F6DFF">
      <w:pPr>
        <w:pStyle w:val="ListParagraph"/>
        <w:keepNext/>
        <w:numPr>
          <w:ilvl w:val="0"/>
          <w:numId w:val="10"/>
        </w:numPr>
        <w:jc w:val="both"/>
        <w:outlineLvl w:val="0"/>
        <w:rPr>
          <w:rFonts w:ascii="Arial" w:hAnsi="Arial" w:cs="Arial"/>
        </w:rPr>
      </w:pPr>
      <w:r>
        <w:rPr>
          <w:rFonts w:ascii="Arial" w:hAnsi="Arial" w:cs="Arial"/>
        </w:rPr>
        <w:t>If insufficient financing is available, or a decision is taken not to apply resources, the capital expenditure will give rise to a borrowing need.</w:t>
      </w:r>
    </w:p>
    <w:p w:rsidR="00F63C06" w:rsidRDefault="00F63C06" w:rsidP="00F63C06">
      <w:pPr>
        <w:keepNext/>
        <w:ind w:left="284"/>
        <w:jc w:val="both"/>
        <w:outlineLvl w:val="0"/>
        <w:rPr>
          <w:szCs w:val="22"/>
        </w:rPr>
      </w:pPr>
    </w:p>
    <w:p w:rsidR="00F63C06" w:rsidRDefault="005F6DFF" w:rsidP="00167EFD">
      <w:pPr>
        <w:keepNext/>
        <w:numPr>
          <w:ilvl w:val="1"/>
          <w:numId w:val="1"/>
        </w:numPr>
        <w:tabs>
          <w:tab w:val="num" w:pos="360"/>
        </w:tabs>
        <w:ind w:hanging="436"/>
        <w:jc w:val="both"/>
        <w:outlineLvl w:val="0"/>
        <w:rPr>
          <w:szCs w:val="22"/>
        </w:rPr>
      </w:pPr>
      <w:r>
        <w:rPr>
          <w:szCs w:val="22"/>
        </w:rPr>
        <w:t>The actual capital expenditure forms one of the required prudential indicators. The table below shows the actual capital expenditure for 2018/19.</w:t>
      </w:r>
    </w:p>
    <w:p w:rsidR="00F63C06" w:rsidRDefault="00F63C06" w:rsidP="00F63C06">
      <w:pPr>
        <w:keepNext/>
        <w:ind w:left="284"/>
        <w:jc w:val="both"/>
        <w:outlineLvl w:val="0"/>
        <w:rPr>
          <w:szCs w:val="22"/>
        </w:rPr>
      </w:pPr>
    </w:p>
    <w:tbl>
      <w:tblPr>
        <w:tblW w:w="7780" w:type="dxa"/>
        <w:jc w:val="center"/>
        <w:tblLook w:val="04A0" w:firstRow="1" w:lastRow="0" w:firstColumn="1" w:lastColumn="0" w:noHBand="0" w:noVBand="1"/>
      </w:tblPr>
      <w:tblGrid>
        <w:gridCol w:w="3460"/>
        <w:gridCol w:w="1134"/>
        <w:gridCol w:w="1080"/>
        <w:gridCol w:w="1080"/>
        <w:gridCol w:w="1134"/>
      </w:tblGrid>
      <w:tr w:rsidR="00720A9E" w:rsidRPr="00720A9E" w:rsidTr="00720A9E">
        <w:trPr>
          <w:trHeight w:val="300"/>
          <w:jc w:val="center"/>
        </w:trPr>
        <w:tc>
          <w:tcPr>
            <w:tcW w:w="3460" w:type="dxa"/>
            <w:vMerge w:val="restart"/>
            <w:tcBorders>
              <w:top w:val="single" w:sz="4" w:space="0" w:color="auto"/>
              <w:left w:val="single" w:sz="4" w:space="0" w:color="auto"/>
              <w:bottom w:val="nil"/>
              <w:right w:val="single" w:sz="4" w:space="0" w:color="auto"/>
            </w:tcBorders>
            <w:shd w:val="clear" w:color="000000" w:fill="BFBFBF"/>
            <w:vAlign w:val="bottom"/>
            <w:hideMark/>
          </w:tcPr>
          <w:p w:rsidR="00720A9E" w:rsidRPr="00720A9E" w:rsidRDefault="00720A9E" w:rsidP="00720A9E">
            <w:pPr>
              <w:rPr>
                <w:rFonts w:cs="Arial"/>
                <w:b/>
                <w:bCs/>
                <w:color w:val="000000"/>
                <w:szCs w:val="22"/>
              </w:rPr>
            </w:pPr>
            <w:r w:rsidRPr="00720A9E">
              <w:rPr>
                <w:rFonts w:cs="Arial"/>
                <w:b/>
                <w:bCs/>
                <w:color w:val="000000"/>
                <w:szCs w:val="22"/>
              </w:rPr>
              <w:t>Table 1 - Capital Expenditure 2018/19</w:t>
            </w:r>
          </w:p>
        </w:tc>
        <w:tc>
          <w:tcPr>
            <w:tcW w:w="1080" w:type="dxa"/>
            <w:tcBorders>
              <w:top w:val="single" w:sz="4" w:space="0" w:color="auto"/>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c>
          <w:tcPr>
            <w:tcW w:w="1080" w:type="dxa"/>
            <w:tcBorders>
              <w:top w:val="single" w:sz="4" w:space="0" w:color="auto"/>
              <w:left w:val="nil"/>
              <w:bottom w:val="nil"/>
              <w:right w:val="single" w:sz="4" w:space="0" w:color="auto"/>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r>
      <w:tr w:rsidR="00720A9E" w:rsidRPr="00720A9E" w:rsidTr="00720A9E">
        <w:trPr>
          <w:trHeight w:val="300"/>
          <w:jc w:val="center"/>
        </w:trPr>
        <w:tc>
          <w:tcPr>
            <w:tcW w:w="3460" w:type="dxa"/>
            <w:vMerge/>
            <w:tcBorders>
              <w:top w:val="single" w:sz="4" w:space="0" w:color="auto"/>
              <w:left w:val="single" w:sz="4" w:space="0" w:color="auto"/>
              <w:bottom w:val="nil"/>
              <w:right w:val="single" w:sz="4" w:space="0" w:color="auto"/>
            </w:tcBorders>
            <w:vAlign w:val="center"/>
            <w:hideMark/>
          </w:tcPr>
          <w:p w:rsidR="00720A9E" w:rsidRPr="00720A9E" w:rsidRDefault="00720A9E" w:rsidP="00720A9E">
            <w:pPr>
              <w:rPr>
                <w:rFonts w:cs="Arial"/>
                <w:b/>
                <w:bCs/>
                <w:color w:val="000000"/>
                <w:szCs w:val="22"/>
              </w:rPr>
            </w:pPr>
          </w:p>
        </w:tc>
        <w:tc>
          <w:tcPr>
            <w:tcW w:w="1080" w:type="dxa"/>
            <w:tcBorders>
              <w:top w:val="nil"/>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Estimate</w:t>
            </w:r>
          </w:p>
        </w:tc>
        <w:tc>
          <w:tcPr>
            <w:tcW w:w="1080" w:type="dxa"/>
            <w:tcBorders>
              <w:top w:val="nil"/>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Revised</w:t>
            </w:r>
          </w:p>
        </w:tc>
        <w:tc>
          <w:tcPr>
            <w:tcW w:w="1080" w:type="dxa"/>
            <w:tcBorders>
              <w:top w:val="nil"/>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Actual</w:t>
            </w:r>
          </w:p>
        </w:tc>
        <w:tc>
          <w:tcPr>
            <w:tcW w:w="1080" w:type="dxa"/>
            <w:tcBorders>
              <w:top w:val="nil"/>
              <w:left w:val="nil"/>
              <w:bottom w:val="nil"/>
              <w:right w:val="single" w:sz="4" w:space="0" w:color="auto"/>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Variance</w:t>
            </w:r>
          </w:p>
        </w:tc>
      </w:tr>
      <w:tr w:rsidR="00720A9E" w:rsidRPr="00720A9E" w:rsidTr="00720A9E">
        <w:trPr>
          <w:trHeight w:val="300"/>
          <w:jc w:val="center"/>
        </w:trPr>
        <w:tc>
          <w:tcPr>
            <w:tcW w:w="3460" w:type="dxa"/>
            <w:tcBorders>
              <w:top w:val="nil"/>
              <w:left w:val="single" w:sz="4" w:space="0" w:color="auto"/>
              <w:bottom w:val="single" w:sz="4" w:space="0" w:color="auto"/>
              <w:right w:val="single" w:sz="4" w:space="0" w:color="auto"/>
            </w:tcBorders>
            <w:shd w:val="clear" w:color="000000" w:fill="BFBFBF"/>
            <w:vAlign w:val="bottom"/>
            <w:hideMark/>
          </w:tcPr>
          <w:p w:rsidR="00720A9E" w:rsidRPr="00720A9E" w:rsidRDefault="00720A9E" w:rsidP="00720A9E">
            <w:pPr>
              <w:rPr>
                <w:rFonts w:cs="Arial"/>
                <w:b/>
                <w:bCs/>
                <w:color w:val="000000"/>
                <w:szCs w:val="22"/>
              </w:rPr>
            </w:pPr>
            <w:r w:rsidRPr="00720A9E">
              <w:rPr>
                <w:rFonts w:cs="Arial"/>
                <w:b/>
                <w:bCs/>
                <w:color w:val="000000"/>
                <w:szCs w:val="22"/>
              </w:rPr>
              <w:t> </w:t>
            </w:r>
          </w:p>
        </w:tc>
        <w:tc>
          <w:tcPr>
            <w:tcW w:w="1080" w:type="dxa"/>
            <w:tcBorders>
              <w:top w:val="nil"/>
              <w:left w:val="nil"/>
              <w:bottom w:val="single" w:sz="4" w:space="0" w:color="auto"/>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single" w:sz="4" w:space="0" w:color="auto"/>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2018/19 Capital Programme</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8,151</w:t>
            </w:r>
          </w:p>
        </w:tc>
        <w:tc>
          <w:tcPr>
            <w:tcW w:w="1080" w:type="dxa"/>
            <w:tcBorders>
              <w:top w:val="nil"/>
              <w:left w:val="nil"/>
              <w:bottom w:val="nil"/>
              <w:right w:val="nil"/>
            </w:tcBorders>
            <w:shd w:val="clear" w:color="auto" w:fill="auto"/>
            <w:noWrap/>
            <w:vAlign w:val="bottom"/>
            <w:hideMark/>
          </w:tcPr>
          <w:p w:rsidR="00720A9E" w:rsidRPr="00464389" w:rsidRDefault="00464389" w:rsidP="00720A9E">
            <w:pPr>
              <w:jc w:val="right"/>
              <w:rPr>
                <w:rFonts w:cs="Arial"/>
                <w:color w:val="000000"/>
                <w:szCs w:val="22"/>
              </w:rPr>
            </w:pPr>
            <w:r w:rsidRPr="00464389">
              <w:rPr>
                <w:rFonts w:cs="Arial"/>
                <w:color w:val="000000"/>
                <w:szCs w:val="22"/>
              </w:rPr>
              <w:t>2,898</w:t>
            </w:r>
          </w:p>
        </w:tc>
        <w:tc>
          <w:tcPr>
            <w:tcW w:w="1080" w:type="dxa"/>
            <w:tcBorders>
              <w:top w:val="nil"/>
              <w:left w:val="nil"/>
              <w:bottom w:val="nil"/>
              <w:right w:val="nil"/>
            </w:tcBorders>
            <w:shd w:val="clear" w:color="auto" w:fill="auto"/>
            <w:noWrap/>
            <w:vAlign w:val="bottom"/>
            <w:hideMark/>
          </w:tcPr>
          <w:p w:rsidR="00720A9E" w:rsidRPr="00464389" w:rsidRDefault="00720A9E" w:rsidP="00720A9E">
            <w:pPr>
              <w:jc w:val="right"/>
              <w:rPr>
                <w:rFonts w:cs="Arial"/>
                <w:color w:val="000000"/>
                <w:szCs w:val="22"/>
              </w:rPr>
            </w:pPr>
            <w:r w:rsidRPr="00464389">
              <w:rPr>
                <w:rFonts w:cs="Arial"/>
                <w:color w:val="000000"/>
                <w:szCs w:val="22"/>
              </w:rPr>
              <w:t>2,422</w:t>
            </w:r>
          </w:p>
        </w:tc>
        <w:tc>
          <w:tcPr>
            <w:tcW w:w="1080" w:type="dxa"/>
            <w:tcBorders>
              <w:top w:val="nil"/>
              <w:left w:val="nil"/>
              <w:bottom w:val="nil"/>
              <w:right w:val="single" w:sz="4" w:space="0" w:color="auto"/>
            </w:tcBorders>
            <w:shd w:val="clear" w:color="auto" w:fill="auto"/>
            <w:noWrap/>
            <w:vAlign w:val="bottom"/>
            <w:hideMark/>
          </w:tcPr>
          <w:p w:rsidR="00720A9E" w:rsidRPr="00464389" w:rsidRDefault="00464389" w:rsidP="00720A9E">
            <w:pPr>
              <w:jc w:val="right"/>
              <w:rPr>
                <w:rFonts w:cs="Arial"/>
                <w:color w:val="000000"/>
                <w:szCs w:val="22"/>
              </w:rPr>
            </w:pPr>
            <w:r w:rsidRPr="00464389">
              <w:rPr>
                <w:rFonts w:cs="Arial"/>
                <w:color w:val="000000"/>
                <w:szCs w:val="22"/>
              </w:rPr>
              <w:t>(476</w:t>
            </w:r>
            <w:r w:rsidR="00720A9E" w:rsidRPr="00464389">
              <w:rPr>
                <w:rFonts w:cs="Arial"/>
                <w:color w:val="000000"/>
                <w:szCs w:val="22"/>
              </w:rPr>
              <w:t>)</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464389"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464389" w:rsidRDefault="00720A9E" w:rsidP="00720A9E">
            <w:pPr>
              <w:rPr>
                <w:rFonts w:cs="Arial"/>
                <w:color w:val="000000"/>
                <w:szCs w:val="22"/>
              </w:rPr>
            </w:pPr>
          </w:p>
        </w:tc>
        <w:tc>
          <w:tcPr>
            <w:tcW w:w="1080" w:type="dxa"/>
            <w:tcBorders>
              <w:top w:val="nil"/>
              <w:left w:val="nil"/>
              <w:bottom w:val="nil"/>
              <w:right w:val="single" w:sz="4" w:space="0" w:color="auto"/>
            </w:tcBorders>
            <w:shd w:val="clear" w:color="auto" w:fill="auto"/>
            <w:noWrap/>
            <w:vAlign w:val="bottom"/>
            <w:hideMark/>
          </w:tcPr>
          <w:p w:rsidR="00720A9E" w:rsidRPr="00464389" w:rsidRDefault="00720A9E" w:rsidP="00720A9E">
            <w:pPr>
              <w:rPr>
                <w:rFonts w:cs="Arial"/>
                <w:color w:val="000000"/>
                <w:szCs w:val="22"/>
              </w:rPr>
            </w:pPr>
            <w:r w:rsidRPr="00464389">
              <w:rPr>
                <w:rFonts w:cs="Arial"/>
                <w:color w:val="000000"/>
                <w:szCs w:val="22"/>
              </w:rPr>
              <w:t> </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Additional finance lease liability</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104</w:t>
            </w:r>
          </w:p>
        </w:tc>
        <w:tc>
          <w:tcPr>
            <w:tcW w:w="1080" w:type="dxa"/>
            <w:tcBorders>
              <w:top w:val="nil"/>
              <w:left w:val="nil"/>
              <w:bottom w:val="nil"/>
              <w:right w:val="nil"/>
            </w:tcBorders>
            <w:shd w:val="clear" w:color="auto" w:fill="auto"/>
            <w:noWrap/>
            <w:vAlign w:val="bottom"/>
            <w:hideMark/>
          </w:tcPr>
          <w:p w:rsidR="00720A9E" w:rsidRPr="00464389" w:rsidRDefault="00720A9E" w:rsidP="00720A9E">
            <w:pPr>
              <w:jc w:val="right"/>
              <w:rPr>
                <w:rFonts w:cs="Arial"/>
                <w:color w:val="000000"/>
                <w:szCs w:val="22"/>
              </w:rPr>
            </w:pPr>
            <w:r w:rsidRPr="00464389">
              <w:rPr>
                <w:rFonts w:cs="Arial"/>
                <w:color w:val="000000"/>
                <w:szCs w:val="22"/>
              </w:rPr>
              <w:t>103</w:t>
            </w:r>
          </w:p>
        </w:tc>
        <w:tc>
          <w:tcPr>
            <w:tcW w:w="1080" w:type="dxa"/>
            <w:tcBorders>
              <w:top w:val="nil"/>
              <w:left w:val="nil"/>
              <w:bottom w:val="nil"/>
              <w:right w:val="nil"/>
            </w:tcBorders>
            <w:shd w:val="clear" w:color="auto" w:fill="auto"/>
            <w:noWrap/>
            <w:vAlign w:val="bottom"/>
            <w:hideMark/>
          </w:tcPr>
          <w:p w:rsidR="00720A9E" w:rsidRPr="00464389" w:rsidRDefault="00720A9E" w:rsidP="00720A9E">
            <w:pPr>
              <w:jc w:val="right"/>
              <w:rPr>
                <w:rFonts w:cs="Arial"/>
                <w:color w:val="000000"/>
                <w:szCs w:val="22"/>
              </w:rPr>
            </w:pPr>
            <w:r w:rsidRPr="00464389">
              <w:rPr>
                <w:rFonts w:cs="Arial"/>
                <w:color w:val="000000"/>
                <w:szCs w:val="22"/>
              </w:rPr>
              <w:t>0</w:t>
            </w:r>
          </w:p>
        </w:tc>
        <w:tc>
          <w:tcPr>
            <w:tcW w:w="1080" w:type="dxa"/>
            <w:tcBorders>
              <w:top w:val="nil"/>
              <w:left w:val="nil"/>
              <w:bottom w:val="nil"/>
              <w:right w:val="single" w:sz="4" w:space="0" w:color="auto"/>
            </w:tcBorders>
            <w:shd w:val="clear" w:color="auto" w:fill="auto"/>
            <w:noWrap/>
            <w:vAlign w:val="bottom"/>
            <w:hideMark/>
          </w:tcPr>
          <w:p w:rsidR="00720A9E" w:rsidRPr="00464389" w:rsidRDefault="00720A9E" w:rsidP="00720A9E">
            <w:pPr>
              <w:jc w:val="right"/>
              <w:rPr>
                <w:rFonts w:cs="Arial"/>
                <w:color w:val="000000"/>
                <w:szCs w:val="22"/>
              </w:rPr>
            </w:pPr>
            <w:r w:rsidRPr="00464389">
              <w:rPr>
                <w:rFonts w:cs="Arial"/>
                <w:color w:val="000000"/>
                <w:szCs w:val="22"/>
              </w:rPr>
              <w:t>(103)</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464389"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464389" w:rsidRDefault="00720A9E" w:rsidP="00720A9E">
            <w:pPr>
              <w:rPr>
                <w:rFonts w:cs="Arial"/>
                <w:color w:val="000000"/>
                <w:szCs w:val="22"/>
              </w:rPr>
            </w:pPr>
          </w:p>
        </w:tc>
        <w:tc>
          <w:tcPr>
            <w:tcW w:w="1080" w:type="dxa"/>
            <w:tcBorders>
              <w:top w:val="nil"/>
              <w:left w:val="nil"/>
              <w:bottom w:val="nil"/>
              <w:right w:val="single" w:sz="4" w:space="0" w:color="auto"/>
            </w:tcBorders>
            <w:shd w:val="clear" w:color="auto" w:fill="auto"/>
            <w:noWrap/>
            <w:vAlign w:val="bottom"/>
            <w:hideMark/>
          </w:tcPr>
          <w:p w:rsidR="00720A9E" w:rsidRPr="00464389" w:rsidRDefault="00720A9E" w:rsidP="00720A9E">
            <w:pPr>
              <w:rPr>
                <w:rFonts w:cs="Arial"/>
                <w:color w:val="000000"/>
                <w:szCs w:val="22"/>
              </w:rPr>
            </w:pPr>
            <w:r w:rsidRPr="00464389">
              <w:rPr>
                <w:rFonts w:cs="Arial"/>
                <w:color w:val="000000"/>
                <w:szCs w:val="22"/>
              </w:rPr>
              <w:t> </w:t>
            </w:r>
          </w:p>
        </w:tc>
      </w:tr>
      <w:tr w:rsidR="00720A9E" w:rsidRPr="00720A9E" w:rsidTr="00720A9E">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720A9E" w:rsidRPr="00720A9E" w:rsidRDefault="00720A9E" w:rsidP="00720A9E">
            <w:pPr>
              <w:rPr>
                <w:rFonts w:cs="Arial"/>
                <w:b/>
                <w:bCs/>
                <w:color w:val="000000"/>
                <w:szCs w:val="22"/>
              </w:rPr>
            </w:pPr>
            <w:r w:rsidRPr="00720A9E">
              <w:rPr>
                <w:rFonts w:cs="Arial"/>
                <w:b/>
                <w:bCs/>
                <w:color w:val="000000"/>
                <w:szCs w:val="22"/>
              </w:rPr>
              <w:t>Capital Expenditure Total</w:t>
            </w:r>
          </w:p>
        </w:tc>
        <w:tc>
          <w:tcPr>
            <w:tcW w:w="1080" w:type="dxa"/>
            <w:tcBorders>
              <w:top w:val="single" w:sz="4" w:space="0" w:color="auto"/>
              <w:left w:val="nil"/>
              <w:bottom w:val="single" w:sz="4" w:space="0" w:color="auto"/>
              <w:right w:val="nil"/>
            </w:tcBorders>
            <w:shd w:val="clear" w:color="auto" w:fill="auto"/>
            <w:noWrap/>
            <w:vAlign w:val="bottom"/>
            <w:hideMark/>
          </w:tcPr>
          <w:p w:rsidR="00720A9E" w:rsidRPr="00720A9E" w:rsidRDefault="00720A9E" w:rsidP="00720A9E">
            <w:pPr>
              <w:jc w:val="right"/>
              <w:rPr>
                <w:rFonts w:cs="Arial"/>
                <w:b/>
                <w:bCs/>
                <w:color w:val="000000"/>
                <w:szCs w:val="22"/>
              </w:rPr>
            </w:pPr>
            <w:r w:rsidRPr="00720A9E">
              <w:rPr>
                <w:rFonts w:cs="Arial"/>
                <w:b/>
                <w:bCs/>
                <w:color w:val="000000"/>
                <w:szCs w:val="22"/>
              </w:rPr>
              <w:t>8,255</w:t>
            </w:r>
          </w:p>
        </w:tc>
        <w:tc>
          <w:tcPr>
            <w:tcW w:w="1080" w:type="dxa"/>
            <w:tcBorders>
              <w:top w:val="single" w:sz="4" w:space="0" w:color="auto"/>
              <w:left w:val="nil"/>
              <w:bottom w:val="single" w:sz="4" w:space="0" w:color="auto"/>
              <w:right w:val="nil"/>
            </w:tcBorders>
            <w:shd w:val="clear" w:color="auto" w:fill="auto"/>
            <w:noWrap/>
            <w:vAlign w:val="bottom"/>
            <w:hideMark/>
          </w:tcPr>
          <w:p w:rsidR="00720A9E" w:rsidRPr="00464389" w:rsidRDefault="00464389" w:rsidP="00720A9E">
            <w:pPr>
              <w:jc w:val="right"/>
              <w:rPr>
                <w:rFonts w:cs="Arial"/>
                <w:b/>
                <w:bCs/>
                <w:color w:val="000000"/>
                <w:szCs w:val="22"/>
              </w:rPr>
            </w:pPr>
            <w:r w:rsidRPr="00464389">
              <w:rPr>
                <w:rFonts w:cs="Arial"/>
                <w:b/>
                <w:bCs/>
                <w:color w:val="000000"/>
                <w:szCs w:val="22"/>
              </w:rPr>
              <w:t>3,001</w:t>
            </w:r>
          </w:p>
        </w:tc>
        <w:tc>
          <w:tcPr>
            <w:tcW w:w="1080" w:type="dxa"/>
            <w:tcBorders>
              <w:top w:val="single" w:sz="4" w:space="0" w:color="auto"/>
              <w:left w:val="nil"/>
              <w:bottom w:val="single" w:sz="4" w:space="0" w:color="auto"/>
              <w:right w:val="nil"/>
            </w:tcBorders>
            <w:shd w:val="clear" w:color="auto" w:fill="auto"/>
            <w:noWrap/>
            <w:vAlign w:val="bottom"/>
            <w:hideMark/>
          </w:tcPr>
          <w:p w:rsidR="00720A9E" w:rsidRPr="00464389" w:rsidRDefault="00720A9E" w:rsidP="00720A9E">
            <w:pPr>
              <w:jc w:val="right"/>
              <w:rPr>
                <w:rFonts w:cs="Arial"/>
                <w:b/>
                <w:bCs/>
                <w:color w:val="000000"/>
                <w:szCs w:val="22"/>
              </w:rPr>
            </w:pPr>
            <w:r w:rsidRPr="00464389">
              <w:rPr>
                <w:rFonts w:cs="Arial"/>
                <w:b/>
                <w:bCs/>
                <w:color w:val="000000"/>
                <w:szCs w:val="22"/>
              </w:rPr>
              <w:t>2,422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20A9E" w:rsidRPr="00464389" w:rsidRDefault="00C520A5" w:rsidP="004D3890">
            <w:pPr>
              <w:jc w:val="right"/>
              <w:rPr>
                <w:rFonts w:cs="Arial"/>
                <w:b/>
                <w:bCs/>
                <w:color w:val="000000"/>
                <w:szCs w:val="22"/>
              </w:rPr>
            </w:pPr>
            <w:r w:rsidRPr="00464389">
              <w:rPr>
                <w:rFonts w:cs="Arial"/>
                <w:b/>
                <w:bCs/>
                <w:color w:val="000000"/>
                <w:szCs w:val="22"/>
              </w:rPr>
              <w:t>(57</w:t>
            </w:r>
            <w:r w:rsidR="00464389" w:rsidRPr="00464389">
              <w:rPr>
                <w:rFonts w:cs="Arial"/>
                <w:b/>
                <w:bCs/>
                <w:color w:val="000000"/>
                <w:szCs w:val="22"/>
              </w:rPr>
              <w:t>9</w:t>
            </w:r>
            <w:r w:rsidR="00720A9E" w:rsidRPr="00464389">
              <w:rPr>
                <w:rFonts w:cs="Arial"/>
                <w:b/>
                <w:bCs/>
                <w:color w:val="000000"/>
                <w:szCs w:val="22"/>
              </w:rPr>
              <w:t>)</w:t>
            </w:r>
          </w:p>
        </w:tc>
      </w:tr>
    </w:tbl>
    <w:p w:rsidR="00720A9E" w:rsidRDefault="00720A9E" w:rsidP="00720A9E">
      <w:pPr>
        <w:keepNext/>
        <w:ind w:left="284"/>
        <w:jc w:val="center"/>
        <w:outlineLvl w:val="0"/>
        <w:rPr>
          <w:szCs w:val="22"/>
        </w:rPr>
      </w:pPr>
    </w:p>
    <w:p w:rsidR="00720A9E" w:rsidRDefault="00720A9E" w:rsidP="00720A9E">
      <w:pPr>
        <w:keepNext/>
        <w:ind w:left="719"/>
        <w:outlineLvl w:val="0"/>
        <w:rPr>
          <w:szCs w:val="22"/>
        </w:rPr>
      </w:pPr>
      <w:r>
        <w:rPr>
          <w:szCs w:val="22"/>
        </w:rPr>
        <w:t>Additional analysis of the schemes included in the 2018/19 Capital Programme was presented to Cabinet on 19 June 2019 in the report “South Ribble Borough Council Budget Out-turn Report 2018/19”.</w:t>
      </w:r>
    </w:p>
    <w:p w:rsidR="00720A9E" w:rsidRDefault="00720A9E" w:rsidP="00F63C06">
      <w:pPr>
        <w:keepNext/>
        <w:ind w:left="284"/>
        <w:jc w:val="both"/>
        <w:outlineLvl w:val="0"/>
        <w:rPr>
          <w:szCs w:val="22"/>
        </w:rPr>
      </w:pPr>
    </w:p>
    <w:p w:rsidR="00167EFD" w:rsidRDefault="00720A9E" w:rsidP="00167EFD">
      <w:pPr>
        <w:keepNext/>
        <w:numPr>
          <w:ilvl w:val="1"/>
          <w:numId w:val="1"/>
        </w:numPr>
        <w:tabs>
          <w:tab w:val="num" w:pos="360"/>
        </w:tabs>
        <w:ind w:hanging="436"/>
        <w:jc w:val="both"/>
        <w:outlineLvl w:val="0"/>
        <w:rPr>
          <w:szCs w:val="22"/>
        </w:rPr>
      </w:pPr>
      <w:r>
        <w:rPr>
          <w:szCs w:val="22"/>
        </w:rPr>
        <w:t>Financing of the capital expenditure is shown in the following table.</w:t>
      </w:r>
    </w:p>
    <w:p w:rsidR="00A5653A" w:rsidRDefault="00A5653A" w:rsidP="00A5653A">
      <w:pPr>
        <w:keepNext/>
        <w:ind w:left="284"/>
        <w:jc w:val="both"/>
        <w:outlineLvl w:val="0"/>
        <w:rPr>
          <w:szCs w:val="22"/>
        </w:rPr>
      </w:pPr>
    </w:p>
    <w:tbl>
      <w:tblPr>
        <w:tblW w:w="7888" w:type="dxa"/>
        <w:jc w:val="center"/>
        <w:tblLook w:val="04A0" w:firstRow="1" w:lastRow="0" w:firstColumn="1" w:lastColumn="0" w:noHBand="0" w:noVBand="1"/>
      </w:tblPr>
      <w:tblGrid>
        <w:gridCol w:w="3460"/>
        <w:gridCol w:w="1134"/>
        <w:gridCol w:w="1080"/>
        <w:gridCol w:w="1080"/>
        <w:gridCol w:w="1134"/>
      </w:tblGrid>
      <w:tr w:rsidR="00720A9E" w:rsidRPr="00720A9E" w:rsidTr="00720A9E">
        <w:trPr>
          <w:trHeight w:val="300"/>
          <w:jc w:val="center"/>
        </w:trPr>
        <w:tc>
          <w:tcPr>
            <w:tcW w:w="3460" w:type="dxa"/>
            <w:vMerge w:val="restart"/>
            <w:tcBorders>
              <w:top w:val="single" w:sz="4" w:space="0" w:color="auto"/>
              <w:left w:val="single" w:sz="4" w:space="0" w:color="auto"/>
              <w:bottom w:val="nil"/>
              <w:right w:val="single" w:sz="4" w:space="0" w:color="auto"/>
            </w:tcBorders>
            <w:shd w:val="clear" w:color="000000" w:fill="BFBFBF"/>
            <w:vAlign w:val="bottom"/>
            <w:hideMark/>
          </w:tcPr>
          <w:p w:rsidR="00720A9E" w:rsidRPr="00720A9E" w:rsidRDefault="00565C77" w:rsidP="00720A9E">
            <w:pPr>
              <w:rPr>
                <w:rFonts w:cs="Arial"/>
                <w:b/>
                <w:bCs/>
                <w:color w:val="000000"/>
                <w:szCs w:val="22"/>
              </w:rPr>
            </w:pPr>
            <w:r>
              <w:rPr>
                <w:szCs w:val="22"/>
              </w:rPr>
              <w:br w:type="page"/>
            </w:r>
            <w:r w:rsidR="00720A9E" w:rsidRPr="00720A9E">
              <w:rPr>
                <w:rFonts w:cs="Arial"/>
                <w:b/>
                <w:bCs/>
                <w:color w:val="000000"/>
                <w:szCs w:val="22"/>
              </w:rPr>
              <w:t>Table 2 - Capital Financing 2018/19</w:t>
            </w:r>
          </w:p>
        </w:tc>
        <w:tc>
          <w:tcPr>
            <w:tcW w:w="1134" w:type="dxa"/>
            <w:tcBorders>
              <w:top w:val="single" w:sz="4" w:space="0" w:color="auto"/>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c>
          <w:tcPr>
            <w:tcW w:w="1134" w:type="dxa"/>
            <w:tcBorders>
              <w:top w:val="single" w:sz="4" w:space="0" w:color="auto"/>
              <w:left w:val="nil"/>
              <w:bottom w:val="nil"/>
              <w:right w:val="single" w:sz="4" w:space="0" w:color="auto"/>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2018/19</w:t>
            </w:r>
          </w:p>
        </w:tc>
      </w:tr>
      <w:tr w:rsidR="00720A9E" w:rsidRPr="00720A9E" w:rsidTr="00720A9E">
        <w:trPr>
          <w:trHeight w:val="300"/>
          <w:jc w:val="center"/>
        </w:trPr>
        <w:tc>
          <w:tcPr>
            <w:tcW w:w="3460" w:type="dxa"/>
            <w:vMerge/>
            <w:tcBorders>
              <w:top w:val="single" w:sz="4" w:space="0" w:color="auto"/>
              <w:left w:val="single" w:sz="4" w:space="0" w:color="auto"/>
              <w:bottom w:val="nil"/>
              <w:right w:val="single" w:sz="4" w:space="0" w:color="auto"/>
            </w:tcBorders>
            <w:vAlign w:val="center"/>
            <w:hideMark/>
          </w:tcPr>
          <w:p w:rsidR="00720A9E" w:rsidRPr="00720A9E" w:rsidRDefault="00720A9E" w:rsidP="00720A9E">
            <w:pPr>
              <w:rPr>
                <w:rFonts w:cs="Arial"/>
                <w:b/>
                <w:bCs/>
                <w:color w:val="000000"/>
                <w:szCs w:val="22"/>
              </w:rPr>
            </w:pPr>
          </w:p>
        </w:tc>
        <w:tc>
          <w:tcPr>
            <w:tcW w:w="1134" w:type="dxa"/>
            <w:tcBorders>
              <w:top w:val="nil"/>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Estimate</w:t>
            </w:r>
          </w:p>
        </w:tc>
        <w:tc>
          <w:tcPr>
            <w:tcW w:w="1080" w:type="dxa"/>
            <w:tcBorders>
              <w:top w:val="nil"/>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Revised</w:t>
            </w:r>
          </w:p>
        </w:tc>
        <w:tc>
          <w:tcPr>
            <w:tcW w:w="1080" w:type="dxa"/>
            <w:tcBorders>
              <w:top w:val="nil"/>
              <w:left w:val="nil"/>
              <w:bottom w:val="nil"/>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Actual</w:t>
            </w:r>
          </w:p>
        </w:tc>
        <w:tc>
          <w:tcPr>
            <w:tcW w:w="1134" w:type="dxa"/>
            <w:tcBorders>
              <w:top w:val="nil"/>
              <w:left w:val="nil"/>
              <w:bottom w:val="nil"/>
              <w:right w:val="single" w:sz="4" w:space="0" w:color="auto"/>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Variance</w:t>
            </w:r>
          </w:p>
        </w:tc>
      </w:tr>
      <w:tr w:rsidR="00720A9E" w:rsidRPr="00720A9E" w:rsidTr="00720A9E">
        <w:trPr>
          <w:trHeight w:val="300"/>
          <w:jc w:val="center"/>
        </w:trPr>
        <w:tc>
          <w:tcPr>
            <w:tcW w:w="3460" w:type="dxa"/>
            <w:tcBorders>
              <w:top w:val="nil"/>
              <w:left w:val="single" w:sz="4" w:space="0" w:color="auto"/>
              <w:bottom w:val="single" w:sz="4" w:space="0" w:color="auto"/>
              <w:right w:val="single" w:sz="4" w:space="0" w:color="auto"/>
            </w:tcBorders>
            <w:shd w:val="clear" w:color="000000" w:fill="BFBFBF"/>
            <w:vAlign w:val="bottom"/>
            <w:hideMark/>
          </w:tcPr>
          <w:p w:rsidR="00720A9E" w:rsidRPr="00720A9E" w:rsidRDefault="00720A9E" w:rsidP="00720A9E">
            <w:pPr>
              <w:rPr>
                <w:rFonts w:cs="Arial"/>
                <w:b/>
                <w:bCs/>
                <w:color w:val="000000"/>
                <w:szCs w:val="22"/>
              </w:rPr>
            </w:pPr>
            <w:r w:rsidRPr="00720A9E">
              <w:rPr>
                <w:rFonts w:cs="Arial"/>
                <w:b/>
                <w:bCs/>
                <w:color w:val="000000"/>
                <w:szCs w:val="22"/>
              </w:rPr>
              <w:t> </w:t>
            </w:r>
          </w:p>
        </w:tc>
        <w:tc>
          <w:tcPr>
            <w:tcW w:w="1134" w:type="dxa"/>
            <w:tcBorders>
              <w:top w:val="nil"/>
              <w:left w:val="nil"/>
              <w:bottom w:val="single" w:sz="4" w:space="0" w:color="auto"/>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c>
          <w:tcPr>
            <w:tcW w:w="1134" w:type="dxa"/>
            <w:tcBorders>
              <w:top w:val="nil"/>
              <w:left w:val="nil"/>
              <w:bottom w:val="single" w:sz="4" w:space="0" w:color="auto"/>
              <w:right w:val="single" w:sz="4" w:space="0" w:color="auto"/>
            </w:tcBorders>
            <w:shd w:val="clear" w:color="000000" w:fill="BFBFBF"/>
            <w:noWrap/>
            <w:vAlign w:val="bottom"/>
            <w:hideMark/>
          </w:tcPr>
          <w:p w:rsidR="00720A9E" w:rsidRPr="00720A9E" w:rsidRDefault="00720A9E" w:rsidP="00720A9E">
            <w:pPr>
              <w:jc w:val="center"/>
              <w:rPr>
                <w:rFonts w:cs="Arial"/>
                <w:b/>
                <w:bCs/>
                <w:color w:val="000000"/>
                <w:szCs w:val="22"/>
              </w:rPr>
            </w:pPr>
            <w:r w:rsidRPr="00720A9E">
              <w:rPr>
                <w:rFonts w:cs="Arial"/>
                <w:b/>
                <w:bCs/>
                <w:color w:val="000000"/>
                <w:szCs w:val="22"/>
              </w:rPr>
              <w:t>£000</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Capital expenditure from Table 1</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8,255</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3,001</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2,422</w:t>
            </w: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(579)</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Capital Receipts</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(450)</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(1,152)</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(1,151)</w:t>
            </w: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1</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Grants &amp; Contributions</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(1,394)</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(849)</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(753)</w:t>
            </w: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96</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Revenue and Reserves</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(3,839)</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(897)</w:t>
            </w:r>
          </w:p>
        </w:tc>
        <w:tc>
          <w:tcPr>
            <w:tcW w:w="1080" w:type="dxa"/>
            <w:tcBorders>
              <w:top w:val="nil"/>
              <w:left w:val="nil"/>
              <w:bottom w:val="nil"/>
              <w:right w:val="nil"/>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(518)</w:t>
            </w: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jc w:val="right"/>
              <w:rPr>
                <w:rFonts w:cs="Arial"/>
                <w:color w:val="000000"/>
                <w:szCs w:val="22"/>
              </w:rPr>
            </w:pPr>
            <w:r w:rsidRPr="00720A9E">
              <w:rPr>
                <w:rFonts w:cs="Arial"/>
                <w:color w:val="000000"/>
                <w:szCs w:val="22"/>
              </w:rPr>
              <w:t>379</w:t>
            </w:r>
          </w:p>
        </w:tc>
      </w:tr>
      <w:tr w:rsidR="00720A9E" w:rsidRPr="00720A9E" w:rsidTr="00720A9E">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c>
          <w:tcPr>
            <w:tcW w:w="1134"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080" w:type="dxa"/>
            <w:tcBorders>
              <w:top w:val="nil"/>
              <w:left w:val="nil"/>
              <w:bottom w:val="nil"/>
              <w:right w:val="nil"/>
            </w:tcBorders>
            <w:shd w:val="clear" w:color="auto" w:fill="auto"/>
            <w:noWrap/>
            <w:vAlign w:val="bottom"/>
            <w:hideMark/>
          </w:tcPr>
          <w:p w:rsidR="00720A9E" w:rsidRPr="00720A9E" w:rsidRDefault="00720A9E" w:rsidP="00720A9E">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20A9E" w:rsidRPr="00720A9E" w:rsidRDefault="00720A9E" w:rsidP="00720A9E">
            <w:pPr>
              <w:rPr>
                <w:rFonts w:cs="Arial"/>
                <w:color w:val="000000"/>
                <w:szCs w:val="22"/>
              </w:rPr>
            </w:pPr>
            <w:r w:rsidRPr="00720A9E">
              <w:rPr>
                <w:rFonts w:cs="Arial"/>
                <w:color w:val="000000"/>
                <w:szCs w:val="22"/>
              </w:rPr>
              <w:t> </w:t>
            </w:r>
          </w:p>
        </w:tc>
      </w:tr>
      <w:tr w:rsidR="00720A9E" w:rsidRPr="00720A9E" w:rsidTr="00720A9E">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720A9E" w:rsidRPr="00720A9E" w:rsidRDefault="00720A9E" w:rsidP="00720A9E">
            <w:pPr>
              <w:rPr>
                <w:rFonts w:cs="Arial"/>
                <w:b/>
                <w:bCs/>
                <w:color w:val="000000"/>
                <w:szCs w:val="22"/>
              </w:rPr>
            </w:pPr>
            <w:r w:rsidRPr="00720A9E">
              <w:rPr>
                <w:rFonts w:cs="Arial"/>
                <w:b/>
                <w:bCs/>
                <w:color w:val="000000"/>
                <w:szCs w:val="22"/>
              </w:rPr>
              <w:t>Net financing needed for year</w:t>
            </w:r>
          </w:p>
        </w:tc>
        <w:tc>
          <w:tcPr>
            <w:tcW w:w="1134" w:type="dxa"/>
            <w:tcBorders>
              <w:top w:val="single" w:sz="4" w:space="0" w:color="auto"/>
              <w:left w:val="nil"/>
              <w:bottom w:val="single" w:sz="4" w:space="0" w:color="auto"/>
              <w:right w:val="nil"/>
            </w:tcBorders>
            <w:shd w:val="clear" w:color="auto" w:fill="auto"/>
            <w:noWrap/>
            <w:vAlign w:val="bottom"/>
            <w:hideMark/>
          </w:tcPr>
          <w:p w:rsidR="00720A9E" w:rsidRPr="00720A9E" w:rsidRDefault="00720A9E" w:rsidP="00720A9E">
            <w:pPr>
              <w:jc w:val="right"/>
              <w:rPr>
                <w:rFonts w:cs="Arial"/>
                <w:b/>
                <w:bCs/>
                <w:color w:val="000000"/>
                <w:szCs w:val="22"/>
              </w:rPr>
            </w:pPr>
            <w:r w:rsidRPr="00720A9E">
              <w:rPr>
                <w:rFonts w:cs="Arial"/>
                <w:b/>
                <w:bCs/>
                <w:color w:val="000000"/>
                <w:szCs w:val="22"/>
              </w:rPr>
              <w:t>2,572</w:t>
            </w:r>
          </w:p>
        </w:tc>
        <w:tc>
          <w:tcPr>
            <w:tcW w:w="1080" w:type="dxa"/>
            <w:tcBorders>
              <w:top w:val="single" w:sz="4" w:space="0" w:color="auto"/>
              <w:left w:val="nil"/>
              <w:bottom w:val="single" w:sz="4" w:space="0" w:color="auto"/>
              <w:right w:val="nil"/>
            </w:tcBorders>
            <w:shd w:val="clear" w:color="auto" w:fill="auto"/>
            <w:noWrap/>
            <w:vAlign w:val="bottom"/>
            <w:hideMark/>
          </w:tcPr>
          <w:p w:rsidR="00720A9E" w:rsidRPr="00720A9E" w:rsidRDefault="00720A9E" w:rsidP="00720A9E">
            <w:pPr>
              <w:jc w:val="right"/>
              <w:rPr>
                <w:rFonts w:cs="Arial"/>
                <w:b/>
                <w:bCs/>
                <w:color w:val="000000"/>
                <w:szCs w:val="22"/>
              </w:rPr>
            </w:pPr>
            <w:r w:rsidRPr="00720A9E">
              <w:rPr>
                <w:rFonts w:cs="Arial"/>
                <w:b/>
                <w:bCs/>
                <w:color w:val="000000"/>
                <w:szCs w:val="22"/>
              </w:rPr>
              <w:t>103</w:t>
            </w:r>
          </w:p>
        </w:tc>
        <w:tc>
          <w:tcPr>
            <w:tcW w:w="1080" w:type="dxa"/>
            <w:tcBorders>
              <w:top w:val="single" w:sz="4" w:space="0" w:color="auto"/>
              <w:left w:val="nil"/>
              <w:bottom w:val="single" w:sz="4" w:space="0" w:color="auto"/>
              <w:right w:val="nil"/>
            </w:tcBorders>
            <w:shd w:val="clear" w:color="auto" w:fill="auto"/>
            <w:noWrap/>
            <w:vAlign w:val="bottom"/>
            <w:hideMark/>
          </w:tcPr>
          <w:p w:rsidR="00720A9E" w:rsidRPr="00720A9E" w:rsidRDefault="00720A9E" w:rsidP="00720A9E">
            <w:pPr>
              <w:jc w:val="right"/>
              <w:rPr>
                <w:rFonts w:cs="Arial"/>
                <w:b/>
                <w:bCs/>
                <w:color w:val="000000"/>
                <w:szCs w:val="22"/>
              </w:rPr>
            </w:pPr>
            <w:r w:rsidRPr="00720A9E">
              <w:rPr>
                <w:rFonts w:cs="Arial"/>
                <w:b/>
                <w:bCs/>
                <w:color w:val="000000"/>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0A9E" w:rsidRPr="00720A9E" w:rsidRDefault="00720A9E" w:rsidP="00720A9E">
            <w:pPr>
              <w:jc w:val="right"/>
              <w:rPr>
                <w:rFonts w:cs="Arial"/>
                <w:b/>
                <w:bCs/>
                <w:color w:val="000000"/>
                <w:szCs w:val="22"/>
              </w:rPr>
            </w:pPr>
            <w:r w:rsidRPr="00720A9E">
              <w:rPr>
                <w:rFonts w:cs="Arial"/>
                <w:b/>
                <w:bCs/>
                <w:color w:val="000000"/>
                <w:szCs w:val="22"/>
              </w:rPr>
              <w:t>(103)</w:t>
            </w:r>
          </w:p>
        </w:tc>
      </w:tr>
    </w:tbl>
    <w:p w:rsidR="00F55AEC" w:rsidRDefault="00F55AEC" w:rsidP="00F55AEC">
      <w:pPr>
        <w:ind w:left="360"/>
        <w:jc w:val="both"/>
        <w:rPr>
          <w:b/>
          <w:szCs w:val="22"/>
        </w:rPr>
      </w:pPr>
    </w:p>
    <w:p w:rsidR="00F55AEC" w:rsidRDefault="00F55AEC" w:rsidP="00565C77">
      <w:pPr>
        <w:spacing w:after="160" w:line="259" w:lineRule="auto"/>
        <w:rPr>
          <w:b/>
          <w:szCs w:val="22"/>
        </w:rPr>
      </w:pPr>
    </w:p>
    <w:p w:rsidR="00720A9E" w:rsidRPr="00847656" w:rsidRDefault="00720A9E" w:rsidP="00720A9E">
      <w:pPr>
        <w:numPr>
          <w:ilvl w:val="0"/>
          <w:numId w:val="1"/>
        </w:numPr>
        <w:jc w:val="both"/>
        <w:rPr>
          <w:b/>
          <w:szCs w:val="22"/>
        </w:rPr>
      </w:pPr>
      <w:r>
        <w:rPr>
          <w:b/>
          <w:szCs w:val="22"/>
        </w:rPr>
        <w:t>THE COUNCIL’S OVERALL BORROWING NEED</w:t>
      </w:r>
    </w:p>
    <w:p w:rsidR="00720A9E" w:rsidRPr="00847656" w:rsidRDefault="00720A9E" w:rsidP="00720A9E">
      <w:pPr>
        <w:ind w:left="360"/>
        <w:jc w:val="both"/>
        <w:rPr>
          <w:b/>
          <w:szCs w:val="22"/>
        </w:rPr>
      </w:pPr>
    </w:p>
    <w:p w:rsidR="00720A9E" w:rsidRPr="00E028E9" w:rsidRDefault="00720A9E" w:rsidP="00720A9E">
      <w:pPr>
        <w:keepNext/>
        <w:numPr>
          <w:ilvl w:val="1"/>
          <w:numId w:val="1"/>
        </w:numPr>
        <w:ind w:left="851" w:hanging="567"/>
        <w:jc w:val="both"/>
        <w:outlineLvl w:val="0"/>
        <w:rPr>
          <w:b/>
          <w:szCs w:val="22"/>
        </w:rPr>
      </w:pPr>
      <w:r>
        <w:rPr>
          <w:rFonts w:cs="Arial"/>
          <w:szCs w:val="22"/>
        </w:rPr>
        <w:t>The Council’s underlying need to borrow for capital expenditure is termed the Capital Financing Requirement (CFR). This figure is a gauge of the Council’s indebtedness. The CFR results from the capital activity of the Council and resources used to pay for the capital spend. It represents the unfinanced capital expenditure in 2018/19 plus prior years’ unfinanced capital expenditure which has not yet been paid for by revenue or other resources. At outturn there was no additional unfinanced capital expenditure in 2018/19.</w:t>
      </w:r>
    </w:p>
    <w:p w:rsidR="00E028E9" w:rsidRPr="00720A9E" w:rsidRDefault="00E028E9" w:rsidP="00E028E9">
      <w:pPr>
        <w:keepNext/>
        <w:ind w:left="851"/>
        <w:jc w:val="both"/>
        <w:outlineLvl w:val="0"/>
        <w:rPr>
          <w:b/>
          <w:szCs w:val="22"/>
        </w:rPr>
      </w:pPr>
    </w:p>
    <w:p w:rsidR="003912DE" w:rsidRPr="003912DE" w:rsidRDefault="00E028E9" w:rsidP="00720A9E">
      <w:pPr>
        <w:keepNext/>
        <w:numPr>
          <w:ilvl w:val="1"/>
          <w:numId w:val="1"/>
        </w:numPr>
        <w:ind w:left="851" w:hanging="567"/>
        <w:jc w:val="both"/>
        <w:outlineLvl w:val="0"/>
        <w:rPr>
          <w:b/>
          <w:szCs w:val="22"/>
        </w:rPr>
      </w:pPr>
      <w:r>
        <w:rPr>
          <w:rFonts w:cs="Arial"/>
          <w:szCs w:val="22"/>
        </w:rPr>
        <w:t xml:space="preserve">Part of the Council’s treasury activity is to address the funding requirement for this borrowing need. Depending on the capital expenditure programme, the Council’s cash position is organised to ensure that sufficient cash is available to meet the capital plans and cash flow requirements. This may be sourced through borrowing from external bodies (such as the Government, through the Public Works Loan Board (PWLB), or the money markets), or utilising temporary cash resources within the Council. </w:t>
      </w:r>
      <w:r w:rsidR="003912DE">
        <w:rPr>
          <w:rFonts w:cs="Arial"/>
          <w:szCs w:val="22"/>
        </w:rPr>
        <w:t xml:space="preserve">In 2018/19 it did not prove necessary to borrow for this purpose. </w:t>
      </w:r>
    </w:p>
    <w:p w:rsidR="003912DE" w:rsidRPr="004F3982" w:rsidRDefault="003912DE" w:rsidP="004F3982">
      <w:pPr>
        <w:rPr>
          <w:rFonts w:cs="Arial"/>
        </w:rPr>
      </w:pPr>
    </w:p>
    <w:p w:rsidR="00720A9E" w:rsidRPr="004F3982" w:rsidRDefault="003912DE" w:rsidP="00720A9E">
      <w:pPr>
        <w:keepNext/>
        <w:numPr>
          <w:ilvl w:val="1"/>
          <w:numId w:val="1"/>
        </w:numPr>
        <w:ind w:left="851" w:hanging="567"/>
        <w:jc w:val="both"/>
        <w:outlineLvl w:val="0"/>
        <w:rPr>
          <w:b/>
          <w:szCs w:val="22"/>
        </w:rPr>
      </w:pPr>
      <w:r>
        <w:rPr>
          <w:rFonts w:cs="Arial"/>
          <w:szCs w:val="22"/>
        </w:rPr>
        <w:t xml:space="preserve">The CFR is not matched </w:t>
      </w:r>
      <w:r w:rsidR="00116285">
        <w:rPr>
          <w:rFonts w:cs="Arial"/>
          <w:szCs w:val="22"/>
        </w:rPr>
        <w:t xml:space="preserve">in full </w:t>
      </w:r>
      <w:r>
        <w:rPr>
          <w:rFonts w:cs="Arial"/>
          <w:szCs w:val="22"/>
        </w:rPr>
        <w:t>by external borrowing, so the Council is said to have under borrowed by using its own cash balances to finance capital expenditure. There is some loss of interest as a result, but had external loans been taken the interest payable would have been at a higher rate. Use of the Council’s own cash helps to achieve savings in net interest.</w:t>
      </w:r>
    </w:p>
    <w:p w:rsidR="004F3982" w:rsidRPr="003912DE" w:rsidRDefault="004F3982" w:rsidP="004F3982">
      <w:pPr>
        <w:keepNext/>
        <w:jc w:val="both"/>
        <w:outlineLvl w:val="0"/>
        <w:rPr>
          <w:b/>
          <w:szCs w:val="22"/>
        </w:rPr>
      </w:pPr>
    </w:p>
    <w:p w:rsidR="003912DE" w:rsidRDefault="003912DE" w:rsidP="00720A9E">
      <w:pPr>
        <w:keepNext/>
        <w:numPr>
          <w:ilvl w:val="1"/>
          <w:numId w:val="1"/>
        </w:numPr>
        <w:ind w:left="851" w:hanging="567"/>
        <w:jc w:val="both"/>
        <w:outlineLvl w:val="0"/>
        <w:rPr>
          <w:szCs w:val="22"/>
        </w:rPr>
      </w:pPr>
      <w:r w:rsidRPr="003912DE">
        <w:rPr>
          <w:szCs w:val="22"/>
        </w:rPr>
        <w:t xml:space="preserve">The Council’s underlying borrowing need is not allowed to rise indefinitely. Statutory controls are in place to ensure that capital assets are broadly </w:t>
      </w:r>
      <w:r>
        <w:rPr>
          <w:szCs w:val="22"/>
        </w:rPr>
        <w:t>charged to revenue over the life of the asset. The Council is required to make an annual reve</w:t>
      </w:r>
      <w:r w:rsidR="006612D2">
        <w:rPr>
          <w:szCs w:val="22"/>
        </w:rPr>
        <w:t xml:space="preserve">nue charge, called the Minimum </w:t>
      </w:r>
      <w:r w:rsidR="006612D2" w:rsidRPr="0002245B">
        <w:rPr>
          <w:szCs w:val="22"/>
        </w:rPr>
        <w:t>R</w:t>
      </w:r>
      <w:r>
        <w:rPr>
          <w:szCs w:val="22"/>
        </w:rPr>
        <w:t xml:space="preserve">evenue Provision (MRP), to reduce the CFR. This is effectively a repayment of the borrowing need. This differs from the treasury management arrangements which ensure that cash is available to meet capital commitments. External debt can be borrowed and repaid, but this does not change the CFR. </w:t>
      </w:r>
    </w:p>
    <w:p w:rsidR="004F3982" w:rsidRDefault="004F3982" w:rsidP="004F3982">
      <w:pPr>
        <w:keepNext/>
        <w:jc w:val="both"/>
        <w:outlineLvl w:val="0"/>
        <w:rPr>
          <w:szCs w:val="22"/>
        </w:rPr>
      </w:pPr>
    </w:p>
    <w:p w:rsidR="003912DE" w:rsidRDefault="003912DE" w:rsidP="00720A9E">
      <w:pPr>
        <w:keepNext/>
        <w:numPr>
          <w:ilvl w:val="1"/>
          <w:numId w:val="1"/>
        </w:numPr>
        <w:ind w:left="851" w:hanging="567"/>
        <w:jc w:val="both"/>
        <w:outlineLvl w:val="0"/>
        <w:rPr>
          <w:szCs w:val="22"/>
        </w:rPr>
      </w:pPr>
      <w:r>
        <w:rPr>
          <w:szCs w:val="22"/>
        </w:rPr>
        <w:t>The total CFR can also be reduced by:</w:t>
      </w:r>
    </w:p>
    <w:p w:rsidR="009E7DA2" w:rsidRDefault="009E7DA2" w:rsidP="009E7DA2">
      <w:pPr>
        <w:keepNext/>
        <w:jc w:val="both"/>
        <w:outlineLvl w:val="0"/>
        <w:rPr>
          <w:szCs w:val="22"/>
        </w:rPr>
      </w:pPr>
    </w:p>
    <w:p w:rsidR="004F3982" w:rsidRPr="004F3982" w:rsidRDefault="004F3982" w:rsidP="004F3982">
      <w:pPr>
        <w:pStyle w:val="ListParagraph"/>
        <w:numPr>
          <w:ilvl w:val="0"/>
          <w:numId w:val="14"/>
        </w:numPr>
        <w:rPr>
          <w:rFonts w:ascii="Arial" w:hAnsi="Arial" w:cs="Arial"/>
        </w:rPr>
      </w:pPr>
      <w:r w:rsidRPr="004F3982">
        <w:rPr>
          <w:rFonts w:ascii="Arial" w:hAnsi="Arial" w:cs="Arial"/>
        </w:rPr>
        <w:t>the application of additional capital financing resources (such as unapplied capital receipts); or</w:t>
      </w:r>
    </w:p>
    <w:p w:rsidR="004F3982" w:rsidRDefault="004F3982" w:rsidP="004F3982">
      <w:pPr>
        <w:pStyle w:val="ListParagraph"/>
        <w:numPr>
          <w:ilvl w:val="0"/>
          <w:numId w:val="14"/>
        </w:numPr>
        <w:rPr>
          <w:rFonts w:ascii="Arial" w:hAnsi="Arial" w:cs="Arial"/>
        </w:rPr>
      </w:pPr>
      <w:r>
        <w:rPr>
          <w:rFonts w:ascii="Arial" w:hAnsi="Arial" w:cs="Arial"/>
        </w:rPr>
        <w:t>charging more than the statutory revenue charge (MRP) each year through a Voluntary Revenue Provision (VRP).</w:t>
      </w:r>
    </w:p>
    <w:p w:rsidR="004F3982" w:rsidRPr="004F3982" w:rsidRDefault="004F3982" w:rsidP="004F3982">
      <w:pPr>
        <w:rPr>
          <w:rFonts w:cs="Arial"/>
        </w:rPr>
      </w:pPr>
    </w:p>
    <w:p w:rsidR="004F3982" w:rsidRDefault="004F3982" w:rsidP="00720A9E">
      <w:pPr>
        <w:keepNext/>
        <w:numPr>
          <w:ilvl w:val="1"/>
          <w:numId w:val="1"/>
        </w:numPr>
        <w:ind w:left="851" w:hanging="567"/>
        <w:jc w:val="both"/>
        <w:outlineLvl w:val="0"/>
        <w:rPr>
          <w:szCs w:val="22"/>
        </w:rPr>
      </w:pPr>
      <w:r>
        <w:rPr>
          <w:szCs w:val="22"/>
        </w:rPr>
        <w:t>The 2018/19 MRP Policy (as required by MHCLG Guidance) was approved by Council as part of the Treasury Strategy 2018/19 to 2022/23 on 28 February 2018.</w:t>
      </w:r>
    </w:p>
    <w:p w:rsidR="004F3982" w:rsidRDefault="004F3982" w:rsidP="004F3982">
      <w:pPr>
        <w:keepNext/>
        <w:ind w:left="851"/>
        <w:jc w:val="both"/>
        <w:outlineLvl w:val="0"/>
        <w:rPr>
          <w:szCs w:val="22"/>
        </w:rPr>
      </w:pPr>
    </w:p>
    <w:p w:rsidR="00A5653A" w:rsidRDefault="004F3982" w:rsidP="008A47E9">
      <w:pPr>
        <w:keepNext/>
        <w:numPr>
          <w:ilvl w:val="1"/>
          <w:numId w:val="1"/>
        </w:numPr>
        <w:spacing w:after="160" w:line="259" w:lineRule="auto"/>
        <w:ind w:left="851" w:hanging="567"/>
        <w:jc w:val="both"/>
        <w:outlineLvl w:val="0"/>
        <w:rPr>
          <w:szCs w:val="22"/>
        </w:rPr>
      </w:pPr>
      <w:r w:rsidRPr="00473E27">
        <w:rPr>
          <w:szCs w:val="22"/>
        </w:rPr>
        <w:t>The Council’s CFR for the year is shown in Table 3 below, and represents a key prudential indicator. It includes financing by means of a finance lease for leisure related capital investment, which increases the Council’s borrowing need. No borrowing is actually required in respect of the finance lease because this is included in the contract.</w:t>
      </w:r>
      <w:r w:rsidR="00473E27" w:rsidRPr="00473E27">
        <w:rPr>
          <w:szCs w:val="22"/>
        </w:rPr>
        <w:t xml:space="preserve"> </w:t>
      </w:r>
    </w:p>
    <w:p w:rsidR="00A5653A" w:rsidRDefault="00A5653A" w:rsidP="00A5653A">
      <w:pPr>
        <w:pStyle w:val="ListParagraph"/>
      </w:pPr>
    </w:p>
    <w:tbl>
      <w:tblPr>
        <w:tblW w:w="8728" w:type="dxa"/>
        <w:jc w:val="center"/>
        <w:tblLook w:val="04A0" w:firstRow="1" w:lastRow="0" w:firstColumn="1" w:lastColumn="0" w:noHBand="0" w:noVBand="1"/>
      </w:tblPr>
      <w:tblGrid>
        <w:gridCol w:w="4300"/>
        <w:gridCol w:w="1134"/>
        <w:gridCol w:w="1080"/>
        <w:gridCol w:w="1080"/>
        <w:gridCol w:w="1134"/>
      </w:tblGrid>
      <w:tr w:rsidR="004F3982" w:rsidRPr="004F3982" w:rsidTr="00A5653A">
        <w:trPr>
          <w:trHeight w:val="300"/>
          <w:jc w:val="center"/>
        </w:trPr>
        <w:tc>
          <w:tcPr>
            <w:tcW w:w="4300" w:type="dxa"/>
            <w:vMerge w:val="restart"/>
            <w:tcBorders>
              <w:top w:val="single" w:sz="4" w:space="0" w:color="auto"/>
              <w:left w:val="single" w:sz="4" w:space="0" w:color="auto"/>
              <w:bottom w:val="nil"/>
              <w:right w:val="single" w:sz="4" w:space="0" w:color="auto"/>
            </w:tcBorders>
            <w:shd w:val="clear" w:color="000000" w:fill="BFBFBF"/>
            <w:vAlign w:val="bottom"/>
            <w:hideMark/>
          </w:tcPr>
          <w:p w:rsidR="004F3982" w:rsidRPr="004F3982" w:rsidRDefault="004F3982" w:rsidP="004F3982">
            <w:pPr>
              <w:rPr>
                <w:rFonts w:cs="Arial"/>
                <w:b/>
                <w:bCs/>
                <w:color w:val="000000"/>
                <w:szCs w:val="22"/>
              </w:rPr>
            </w:pPr>
            <w:r w:rsidRPr="004F3982">
              <w:rPr>
                <w:rFonts w:cs="Arial"/>
                <w:b/>
                <w:bCs/>
                <w:color w:val="000000"/>
                <w:szCs w:val="22"/>
              </w:rPr>
              <w:t>Table 3 - Capital Financing Requirement 2018/19</w:t>
            </w:r>
          </w:p>
        </w:tc>
        <w:tc>
          <w:tcPr>
            <w:tcW w:w="1134" w:type="dxa"/>
            <w:tcBorders>
              <w:top w:val="single" w:sz="4" w:space="0" w:color="auto"/>
              <w:left w:val="nil"/>
              <w:bottom w:val="nil"/>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2018/19</w:t>
            </w:r>
          </w:p>
        </w:tc>
        <w:tc>
          <w:tcPr>
            <w:tcW w:w="1134" w:type="dxa"/>
            <w:tcBorders>
              <w:top w:val="single" w:sz="4" w:space="0" w:color="auto"/>
              <w:left w:val="nil"/>
              <w:bottom w:val="nil"/>
              <w:right w:val="single" w:sz="4" w:space="0" w:color="auto"/>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2018/19</w:t>
            </w:r>
          </w:p>
        </w:tc>
      </w:tr>
      <w:tr w:rsidR="004F3982" w:rsidRPr="004F3982" w:rsidTr="00A5653A">
        <w:trPr>
          <w:trHeight w:val="300"/>
          <w:jc w:val="center"/>
        </w:trPr>
        <w:tc>
          <w:tcPr>
            <w:tcW w:w="4300" w:type="dxa"/>
            <w:vMerge/>
            <w:tcBorders>
              <w:top w:val="single" w:sz="4" w:space="0" w:color="auto"/>
              <w:left w:val="single" w:sz="4" w:space="0" w:color="auto"/>
              <w:bottom w:val="nil"/>
              <w:right w:val="single" w:sz="4" w:space="0" w:color="auto"/>
            </w:tcBorders>
            <w:vAlign w:val="center"/>
            <w:hideMark/>
          </w:tcPr>
          <w:p w:rsidR="004F3982" w:rsidRPr="004F3982" w:rsidRDefault="004F3982" w:rsidP="004F3982">
            <w:pPr>
              <w:rPr>
                <w:rFonts w:cs="Arial"/>
                <w:b/>
                <w:bCs/>
                <w:color w:val="000000"/>
                <w:szCs w:val="22"/>
              </w:rPr>
            </w:pPr>
          </w:p>
        </w:tc>
        <w:tc>
          <w:tcPr>
            <w:tcW w:w="1134" w:type="dxa"/>
            <w:tcBorders>
              <w:top w:val="nil"/>
              <w:left w:val="nil"/>
              <w:bottom w:val="nil"/>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Estimate</w:t>
            </w:r>
          </w:p>
        </w:tc>
        <w:tc>
          <w:tcPr>
            <w:tcW w:w="1080" w:type="dxa"/>
            <w:tcBorders>
              <w:top w:val="nil"/>
              <w:left w:val="nil"/>
              <w:bottom w:val="nil"/>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Revised</w:t>
            </w:r>
          </w:p>
        </w:tc>
        <w:tc>
          <w:tcPr>
            <w:tcW w:w="1080" w:type="dxa"/>
            <w:tcBorders>
              <w:top w:val="nil"/>
              <w:left w:val="nil"/>
              <w:bottom w:val="nil"/>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Actual</w:t>
            </w:r>
          </w:p>
        </w:tc>
        <w:tc>
          <w:tcPr>
            <w:tcW w:w="1134" w:type="dxa"/>
            <w:tcBorders>
              <w:top w:val="nil"/>
              <w:left w:val="nil"/>
              <w:bottom w:val="nil"/>
              <w:right w:val="single" w:sz="4" w:space="0" w:color="auto"/>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Variance</w:t>
            </w:r>
          </w:p>
        </w:tc>
      </w:tr>
      <w:tr w:rsidR="004F3982" w:rsidRPr="004F3982" w:rsidTr="00A5653A">
        <w:trPr>
          <w:trHeight w:val="300"/>
          <w:jc w:val="center"/>
        </w:trPr>
        <w:tc>
          <w:tcPr>
            <w:tcW w:w="4300" w:type="dxa"/>
            <w:tcBorders>
              <w:top w:val="nil"/>
              <w:left w:val="single" w:sz="4" w:space="0" w:color="auto"/>
              <w:bottom w:val="single" w:sz="4" w:space="0" w:color="auto"/>
              <w:right w:val="single" w:sz="4" w:space="0" w:color="auto"/>
            </w:tcBorders>
            <w:shd w:val="clear" w:color="000000" w:fill="BFBFBF"/>
            <w:vAlign w:val="bottom"/>
            <w:hideMark/>
          </w:tcPr>
          <w:p w:rsidR="004F3982" w:rsidRPr="004F3982" w:rsidRDefault="004F3982" w:rsidP="004F3982">
            <w:pPr>
              <w:rPr>
                <w:rFonts w:cs="Arial"/>
                <w:b/>
                <w:bCs/>
                <w:color w:val="000000"/>
                <w:szCs w:val="22"/>
              </w:rPr>
            </w:pPr>
            <w:r w:rsidRPr="004F3982">
              <w:rPr>
                <w:rFonts w:cs="Arial"/>
                <w:b/>
                <w:bCs/>
                <w:color w:val="000000"/>
                <w:szCs w:val="22"/>
              </w:rPr>
              <w:t> </w:t>
            </w:r>
          </w:p>
        </w:tc>
        <w:tc>
          <w:tcPr>
            <w:tcW w:w="1134" w:type="dxa"/>
            <w:tcBorders>
              <w:top w:val="nil"/>
              <w:left w:val="nil"/>
              <w:bottom w:val="single" w:sz="4" w:space="0" w:color="auto"/>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£000</w:t>
            </w:r>
          </w:p>
        </w:tc>
        <w:tc>
          <w:tcPr>
            <w:tcW w:w="1134" w:type="dxa"/>
            <w:tcBorders>
              <w:top w:val="nil"/>
              <w:left w:val="nil"/>
              <w:bottom w:val="single" w:sz="4" w:space="0" w:color="auto"/>
              <w:right w:val="single" w:sz="4" w:space="0" w:color="auto"/>
            </w:tcBorders>
            <w:shd w:val="clear" w:color="000000" w:fill="BFBFBF"/>
            <w:noWrap/>
            <w:vAlign w:val="bottom"/>
            <w:hideMark/>
          </w:tcPr>
          <w:p w:rsidR="004F3982" w:rsidRPr="004F3982" w:rsidRDefault="004F3982" w:rsidP="004F3982">
            <w:pPr>
              <w:jc w:val="center"/>
              <w:rPr>
                <w:rFonts w:cs="Arial"/>
                <w:b/>
                <w:bCs/>
                <w:color w:val="000000"/>
                <w:szCs w:val="22"/>
              </w:rPr>
            </w:pPr>
            <w:r w:rsidRPr="004F3982">
              <w:rPr>
                <w:rFonts w:cs="Arial"/>
                <w:b/>
                <w:bCs/>
                <w:color w:val="000000"/>
                <w:szCs w:val="22"/>
              </w:rPr>
              <w:t>£000</w:t>
            </w:r>
          </w:p>
        </w:tc>
      </w:tr>
      <w:tr w:rsidR="004F3982" w:rsidRPr="004F3982" w:rsidTr="00A5653A">
        <w:trPr>
          <w:trHeight w:val="285"/>
          <w:jc w:val="center"/>
        </w:trPr>
        <w:tc>
          <w:tcPr>
            <w:tcW w:w="4300" w:type="dxa"/>
            <w:tcBorders>
              <w:top w:val="nil"/>
              <w:left w:val="single" w:sz="4" w:space="0" w:color="auto"/>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c>
          <w:tcPr>
            <w:tcW w:w="1134"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c>
          <w:tcPr>
            <w:tcW w:w="1134" w:type="dxa"/>
            <w:tcBorders>
              <w:top w:val="nil"/>
              <w:left w:val="nil"/>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r>
      <w:tr w:rsidR="004F3982" w:rsidRPr="004F3982" w:rsidTr="00A5653A">
        <w:trPr>
          <w:trHeight w:val="285"/>
          <w:jc w:val="center"/>
        </w:trPr>
        <w:tc>
          <w:tcPr>
            <w:tcW w:w="4300" w:type="dxa"/>
            <w:tcBorders>
              <w:top w:val="nil"/>
              <w:left w:val="single" w:sz="4" w:space="0" w:color="auto"/>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Opening CFR</w:t>
            </w:r>
          </w:p>
        </w:tc>
        <w:tc>
          <w:tcPr>
            <w:tcW w:w="1134"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4,722</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4,626</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4,626</w:t>
            </w:r>
          </w:p>
        </w:tc>
        <w:tc>
          <w:tcPr>
            <w:tcW w:w="1134" w:type="dxa"/>
            <w:tcBorders>
              <w:top w:val="nil"/>
              <w:left w:val="nil"/>
              <w:bottom w:val="nil"/>
              <w:right w:val="single" w:sz="4" w:space="0" w:color="auto"/>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0</w:t>
            </w:r>
          </w:p>
        </w:tc>
      </w:tr>
      <w:tr w:rsidR="004F3982" w:rsidRPr="004F3982" w:rsidTr="00A5653A">
        <w:trPr>
          <w:trHeight w:val="285"/>
          <w:jc w:val="center"/>
        </w:trPr>
        <w:tc>
          <w:tcPr>
            <w:tcW w:w="4300" w:type="dxa"/>
            <w:tcBorders>
              <w:top w:val="nil"/>
              <w:left w:val="single" w:sz="4" w:space="0" w:color="auto"/>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c>
          <w:tcPr>
            <w:tcW w:w="1134"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r>
      <w:tr w:rsidR="004F3982" w:rsidRPr="004F3982" w:rsidTr="00A5653A">
        <w:trPr>
          <w:trHeight w:val="285"/>
          <w:jc w:val="center"/>
        </w:trPr>
        <w:tc>
          <w:tcPr>
            <w:tcW w:w="4300" w:type="dxa"/>
            <w:tcBorders>
              <w:top w:val="nil"/>
              <w:left w:val="single" w:sz="4" w:space="0" w:color="auto"/>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Net financing need for the year (Table 2)</w:t>
            </w:r>
          </w:p>
        </w:tc>
        <w:tc>
          <w:tcPr>
            <w:tcW w:w="1134"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2,572</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103</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0</w:t>
            </w:r>
          </w:p>
        </w:tc>
        <w:tc>
          <w:tcPr>
            <w:tcW w:w="1134" w:type="dxa"/>
            <w:tcBorders>
              <w:top w:val="nil"/>
              <w:left w:val="nil"/>
              <w:bottom w:val="nil"/>
              <w:right w:val="single" w:sz="4" w:space="0" w:color="auto"/>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(103)</w:t>
            </w:r>
          </w:p>
        </w:tc>
      </w:tr>
      <w:tr w:rsidR="004F3982" w:rsidRPr="004F3982" w:rsidTr="00A5653A">
        <w:trPr>
          <w:trHeight w:val="285"/>
          <w:jc w:val="center"/>
        </w:trPr>
        <w:tc>
          <w:tcPr>
            <w:tcW w:w="4300" w:type="dxa"/>
            <w:tcBorders>
              <w:top w:val="nil"/>
              <w:left w:val="single" w:sz="4" w:space="0" w:color="auto"/>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c>
          <w:tcPr>
            <w:tcW w:w="1134"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r>
      <w:tr w:rsidR="004F3982" w:rsidRPr="004F3982" w:rsidTr="00A5653A">
        <w:trPr>
          <w:trHeight w:val="285"/>
          <w:jc w:val="center"/>
        </w:trPr>
        <w:tc>
          <w:tcPr>
            <w:tcW w:w="4300" w:type="dxa"/>
            <w:tcBorders>
              <w:top w:val="nil"/>
              <w:left w:val="single" w:sz="4" w:space="0" w:color="auto"/>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Less MRP/VRP</w:t>
            </w:r>
          </w:p>
        </w:tc>
        <w:tc>
          <w:tcPr>
            <w:tcW w:w="1134"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(934)</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(886)</w:t>
            </w:r>
          </w:p>
        </w:tc>
        <w:tc>
          <w:tcPr>
            <w:tcW w:w="1080" w:type="dxa"/>
            <w:tcBorders>
              <w:top w:val="nil"/>
              <w:left w:val="nil"/>
              <w:bottom w:val="nil"/>
              <w:right w:val="nil"/>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(886)</w:t>
            </w:r>
          </w:p>
        </w:tc>
        <w:tc>
          <w:tcPr>
            <w:tcW w:w="1134" w:type="dxa"/>
            <w:tcBorders>
              <w:top w:val="nil"/>
              <w:left w:val="nil"/>
              <w:bottom w:val="nil"/>
              <w:right w:val="single" w:sz="4" w:space="0" w:color="auto"/>
            </w:tcBorders>
            <w:shd w:val="clear" w:color="auto" w:fill="auto"/>
            <w:noWrap/>
            <w:vAlign w:val="bottom"/>
            <w:hideMark/>
          </w:tcPr>
          <w:p w:rsidR="004F3982" w:rsidRPr="004F3982" w:rsidRDefault="004F3982" w:rsidP="004F3982">
            <w:pPr>
              <w:jc w:val="right"/>
              <w:rPr>
                <w:rFonts w:cs="Arial"/>
                <w:color w:val="000000"/>
                <w:szCs w:val="22"/>
              </w:rPr>
            </w:pPr>
            <w:r w:rsidRPr="004F3982">
              <w:rPr>
                <w:rFonts w:cs="Arial"/>
                <w:color w:val="000000"/>
                <w:szCs w:val="22"/>
              </w:rPr>
              <w:t>0</w:t>
            </w:r>
          </w:p>
        </w:tc>
      </w:tr>
      <w:tr w:rsidR="004F3982" w:rsidRPr="004F3982" w:rsidTr="00A5653A">
        <w:trPr>
          <w:trHeight w:val="285"/>
          <w:jc w:val="center"/>
        </w:trPr>
        <w:tc>
          <w:tcPr>
            <w:tcW w:w="4300" w:type="dxa"/>
            <w:tcBorders>
              <w:top w:val="nil"/>
              <w:left w:val="single" w:sz="4" w:space="0" w:color="auto"/>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c>
          <w:tcPr>
            <w:tcW w:w="1134"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080" w:type="dxa"/>
            <w:tcBorders>
              <w:top w:val="nil"/>
              <w:left w:val="nil"/>
              <w:bottom w:val="nil"/>
              <w:right w:val="nil"/>
            </w:tcBorders>
            <w:shd w:val="clear" w:color="auto" w:fill="auto"/>
            <w:noWrap/>
            <w:vAlign w:val="bottom"/>
            <w:hideMark/>
          </w:tcPr>
          <w:p w:rsidR="004F3982" w:rsidRPr="004F3982" w:rsidRDefault="004F3982" w:rsidP="004F3982">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4F3982" w:rsidRPr="004F3982" w:rsidRDefault="004F3982" w:rsidP="004F3982">
            <w:pPr>
              <w:rPr>
                <w:rFonts w:cs="Arial"/>
                <w:color w:val="000000"/>
                <w:szCs w:val="22"/>
              </w:rPr>
            </w:pPr>
            <w:r w:rsidRPr="004F3982">
              <w:rPr>
                <w:rFonts w:cs="Arial"/>
                <w:color w:val="000000"/>
                <w:szCs w:val="22"/>
              </w:rPr>
              <w:t> </w:t>
            </w:r>
          </w:p>
        </w:tc>
      </w:tr>
      <w:tr w:rsidR="004F3982" w:rsidRPr="004F3982" w:rsidTr="00A5653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F3982" w:rsidRPr="004F3982" w:rsidRDefault="004F3982" w:rsidP="004F3982">
            <w:pPr>
              <w:rPr>
                <w:rFonts w:cs="Arial"/>
                <w:b/>
                <w:bCs/>
                <w:color w:val="000000"/>
                <w:szCs w:val="22"/>
              </w:rPr>
            </w:pPr>
            <w:r w:rsidRPr="004F3982">
              <w:rPr>
                <w:rFonts w:cs="Arial"/>
                <w:b/>
                <w:bCs/>
                <w:color w:val="000000"/>
                <w:szCs w:val="22"/>
              </w:rPr>
              <w:t>Closing CFR</w:t>
            </w:r>
          </w:p>
        </w:tc>
        <w:tc>
          <w:tcPr>
            <w:tcW w:w="1134" w:type="dxa"/>
            <w:tcBorders>
              <w:top w:val="single" w:sz="4" w:space="0" w:color="auto"/>
              <w:left w:val="nil"/>
              <w:bottom w:val="single" w:sz="4" w:space="0" w:color="auto"/>
              <w:right w:val="nil"/>
            </w:tcBorders>
            <w:shd w:val="clear" w:color="auto" w:fill="auto"/>
            <w:noWrap/>
            <w:vAlign w:val="bottom"/>
            <w:hideMark/>
          </w:tcPr>
          <w:p w:rsidR="004F3982" w:rsidRPr="004F3982" w:rsidRDefault="004F3982" w:rsidP="004F3982">
            <w:pPr>
              <w:jc w:val="right"/>
              <w:rPr>
                <w:rFonts w:cs="Arial"/>
                <w:b/>
                <w:bCs/>
                <w:color w:val="000000"/>
                <w:szCs w:val="22"/>
              </w:rPr>
            </w:pPr>
            <w:r w:rsidRPr="004F3982">
              <w:rPr>
                <w:rFonts w:cs="Arial"/>
                <w:b/>
                <w:bCs/>
                <w:color w:val="000000"/>
                <w:szCs w:val="22"/>
              </w:rPr>
              <w:t>6,360</w:t>
            </w:r>
          </w:p>
        </w:tc>
        <w:tc>
          <w:tcPr>
            <w:tcW w:w="1080" w:type="dxa"/>
            <w:tcBorders>
              <w:top w:val="single" w:sz="4" w:space="0" w:color="auto"/>
              <w:left w:val="nil"/>
              <w:bottom w:val="single" w:sz="4" w:space="0" w:color="auto"/>
              <w:right w:val="nil"/>
            </w:tcBorders>
            <w:shd w:val="clear" w:color="auto" w:fill="auto"/>
            <w:noWrap/>
            <w:vAlign w:val="bottom"/>
            <w:hideMark/>
          </w:tcPr>
          <w:p w:rsidR="004F3982" w:rsidRPr="004F3982" w:rsidRDefault="004F3982" w:rsidP="004F3982">
            <w:pPr>
              <w:jc w:val="right"/>
              <w:rPr>
                <w:rFonts w:cs="Arial"/>
                <w:b/>
                <w:bCs/>
                <w:color w:val="000000"/>
                <w:szCs w:val="22"/>
              </w:rPr>
            </w:pPr>
            <w:r w:rsidRPr="004F3982">
              <w:rPr>
                <w:rFonts w:cs="Arial"/>
                <w:b/>
                <w:bCs/>
                <w:color w:val="000000"/>
                <w:szCs w:val="22"/>
              </w:rPr>
              <w:t>3,843</w:t>
            </w:r>
          </w:p>
        </w:tc>
        <w:tc>
          <w:tcPr>
            <w:tcW w:w="1080" w:type="dxa"/>
            <w:tcBorders>
              <w:top w:val="single" w:sz="4" w:space="0" w:color="auto"/>
              <w:left w:val="nil"/>
              <w:bottom w:val="single" w:sz="4" w:space="0" w:color="auto"/>
              <w:right w:val="nil"/>
            </w:tcBorders>
            <w:shd w:val="clear" w:color="auto" w:fill="auto"/>
            <w:noWrap/>
            <w:vAlign w:val="bottom"/>
            <w:hideMark/>
          </w:tcPr>
          <w:p w:rsidR="004F3982" w:rsidRPr="004F3982" w:rsidRDefault="004F3982" w:rsidP="004F3982">
            <w:pPr>
              <w:jc w:val="right"/>
              <w:rPr>
                <w:rFonts w:cs="Arial"/>
                <w:b/>
                <w:bCs/>
                <w:color w:val="000000"/>
                <w:szCs w:val="22"/>
              </w:rPr>
            </w:pPr>
            <w:r w:rsidRPr="004F3982">
              <w:rPr>
                <w:rFonts w:cs="Arial"/>
                <w:b/>
                <w:bCs/>
                <w:color w:val="000000"/>
                <w:szCs w:val="22"/>
              </w:rPr>
              <w:t>3,740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3982" w:rsidRPr="004F3982" w:rsidRDefault="004F3982" w:rsidP="004F3982">
            <w:pPr>
              <w:jc w:val="right"/>
              <w:rPr>
                <w:rFonts w:cs="Arial"/>
                <w:b/>
                <w:bCs/>
                <w:color w:val="000000"/>
                <w:szCs w:val="22"/>
              </w:rPr>
            </w:pPr>
            <w:r w:rsidRPr="004F3982">
              <w:rPr>
                <w:rFonts w:cs="Arial"/>
                <w:b/>
                <w:bCs/>
                <w:color w:val="000000"/>
                <w:szCs w:val="22"/>
              </w:rPr>
              <w:t>(103)</w:t>
            </w:r>
          </w:p>
        </w:tc>
      </w:tr>
    </w:tbl>
    <w:p w:rsidR="003912DE" w:rsidRDefault="003912DE" w:rsidP="003912DE">
      <w:pPr>
        <w:keepNext/>
        <w:ind w:left="851"/>
        <w:jc w:val="both"/>
        <w:outlineLvl w:val="0"/>
        <w:rPr>
          <w:szCs w:val="22"/>
        </w:rPr>
      </w:pPr>
    </w:p>
    <w:p w:rsidR="00473E27" w:rsidRDefault="006612D2" w:rsidP="003912DE">
      <w:pPr>
        <w:keepNext/>
        <w:ind w:left="851"/>
        <w:jc w:val="both"/>
        <w:outlineLvl w:val="0"/>
        <w:rPr>
          <w:szCs w:val="22"/>
        </w:rPr>
      </w:pPr>
      <w:r>
        <w:rPr>
          <w:szCs w:val="22"/>
        </w:rPr>
        <w:t xml:space="preserve">See also Note 35 Capital </w:t>
      </w:r>
      <w:r w:rsidRPr="0002245B">
        <w:rPr>
          <w:szCs w:val="22"/>
        </w:rPr>
        <w:t>E</w:t>
      </w:r>
      <w:r>
        <w:rPr>
          <w:szCs w:val="22"/>
        </w:rPr>
        <w:t xml:space="preserve">xpenditure </w:t>
      </w:r>
      <w:r w:rsidRPr="0002245B">
        <w:rPr>
          <w:szCs w:val="22"/>
        </w:rPr>
        <w:t>and F</w:t>
      </w:r>
      <w:r w:rsidR="00473E27" w:rsidRPr="0002245B">
        <w:rPr>
          <w:szCs w:val="22"/>
        </w:rPr>
        <w:t>inancing</w:t>
      </w:r>
      <w:r w:rsidR="00473E27" w:rsidRPr="00473E27">
        <w:rPr>
          <w:szCs w:val="22"/>
        </w:rPr>
        <w:t xml:space="preserve"> in the Statement of Accounts 2018/19.</w:t>
      </w:r>
    </w:p>
    <w:p w:rsidR="009E7DA2" w:rsidRPr="003912DE" w:rsidRDefault="009E7DA2" w:rsidP="003912DE">
      <w:pPr>
        <w:keepNext/>
        <w:ind w:left="851"/>
        <w:jc w:val="both"/>
        <w:outlineLvl w:val="0"/>
        <w:rPr>
          <w:szCs w:val="22"/>
        </w:rPr>
      </w:pPr>
    </w:p>
    <w:p w:rsidR="009E7DA2" w:rsidRDefault="009E7DA2" w:rsidP="009E7DA2">
      <w:pPr>
        <w:keepNext/>
        <w:numPr>
          <w:ilvl w:val="1"/>
          <w:numId w:val="1"/>
        </w:numPr>
        <w:ind w:left="851" w:hanging="567"/>
        <w:jc w:val="both"/>
        <w:outlineLvl w:val="0"/>
        <w:rPr>
          <w:szCs w:val="22"/>
        </w:rPr>
      </w:pPr>
      <w:r>
        <w:rPr>
          <w:szCs w:val="22"/>
        </w:rPr>
        <w:t>Borrowing activity is constrained by prudential indicators for gross borrowing and the CFR, and by the authorised limit.</w:t>
      </w:r>
    </w:p>
    <w:p w:rsidR="009E7DA2" w:rsidRDefault="009E7DA2" w:rsidP="009E7DA2">
      <w:pPr>
        <w:keepNext/>
        <w:ind w:left="851"/>
        <w:jc w:val="both"/>
        <w:outlineLvl w:val="0"/>
        <w:rPr>
          <w:szCs w:val="22"/>
        </w:rPr>
      </w:pPr>
    </w:p>
    <w:p w:rsidR="009E7DA2" w:rsidRDefault="009E7DA2" w:rsidP="009E7DA2">
      <w:pPr>
        <w:keepNext/>
        <w:numPr>
          <w:ilvl w:val="1"/>
          <w:numId w:val="1"/>
        </w:numPr>
        <w:ind w:left="851" w:hanging="567"/>
        <w:jc w:val="both"/>
        <w:outlineLvl w:val="0"/>
        <w:rPr>
          <w:szCs w:val="22"/>
        </w:rPr>
      </w:pPr>
      <w:r>
        <w:rPr>
          <w:b/>
          <w:szCs w:val="22"/>
        </w:rPr>
        <w:t xml:space="preserve">Gross borrowing and the CFR. </w:t>
      </w:r>
      <w:r>
        <w:rPr>
          <w:szCs w:val="22"/>
        </w:rPr>
        <w:t>In order to ensu</w:t>
      </w:r>
      <w:r w:rsidRPr="009E7DA2">
        <w:rPr>
          <w:szCs w:val="22"/>
        </w:rPr>
        <w:t>re that borrowing levels are prudent over the medium term and are only for capital purposes, the Council ensures that its gr</w:t>
      </w:r>
      <w:r>
        <w:rPr>
          <w:szCs w:val="22"/>
        </w:rPr>
        <w:t xml:space="preserve">oss external borrowing does not, except in the short term, exceed the total of the CFR in the preceding year (2017/18) plus the estimates of any additional CFR for the current (2018/19) and next two financial years. This essentially means that the Council is not borrowing to support revenue expenditure. This indicator would allow the Council some flexibility to borrow in advance of its immediate capital needs, but this was not required in 2018/19. </w:t>
      </w:r>
    </w:p>
    <w:p w:rsidR="00763E38" w:rsidRDefault="00763E38" w:rsidP="00763E38"/>
    <w:p w:rsidR="00763E38" w:rsidRDefault="00763E38" w:rsidP="009E7DA2">
      <w:pPr>
        <w:keepNext/>
        <w:numPr>
          <w:ilvl w:val="1"/>
          <w:numId w:val="1"/>
        </w:numPr>
        <w:ind w:left="851" w:hanging="567"/>
        <w:jc w:val="both"/>
        <w:outlineLvl w:val="0"/>
        <w:rPr>
          <w:szCs w:val="22"/>
        </w:rPr>
      </w:pPr>
      <w:r>
        <w:rPr>
          <w:szCs w:val="22"/>
        </w:rPr>
        <w:t>Table 4 shows the Council’s gross borrowing position against the CFR. The Council has complied with this prudential indicator.</w:t>
      </w:r>
    </w:p>
    <w:p w:rsidR="00A5653A" w:rsidRDefault="00A5653A" w:rsidP="00A5653A">
      <w:pPr>
        <w:pStyle w:val="ListParagraph"/>
      </w:pPr>
    </w:p>
    <w:p w:rsidR="00763E38" w:rsidRDefault="00763E38" w:rsidP="00763E38">
      <w:pPr>
        <w:pStyle w:val="ListParagraph"/>
      </w:pPr>
    </w:p>
    <w:p w:rsidR="00A5653A" w:rsidRDefault="00A5653A" w:rsidP="00763E38">
      <w:pPr>
        <w:pStyle w:val="ListParagraph"/>
      </w:pPr>
    </w:p>
    <w:tbl>
      <w:tblPr>
        <w:tblW w:w="8568" w:type="dxa"/>
        <w:jc w:val="center"/>
        <w:tblLook w:val="04A0" w:firstRow="1" w:lastRow="0" w:firstColumn="1" w:lastColumn="0" w:noHBand="0" w:noVBand="1"/>
      </w:tblPr>
      <w:tblGrid>
        <w:gridCol w:w="4268"/>
        <w:gridCol w:w="1134"/>
        <w:gridCol w:w="1100"/>
        <w:gridCol w:w="1080"/>
        <w:gridCol w:w="1134"/>
      </w:tblGrid>
      <w:tr w:rsidR="00763E38" w:rsidRPr="00763E38" w:rsidTr="00763E38">
        <w:trPr>
          <w:trHeight w:val="300"/>
          <w:jc w:val="center"/>
        </w:trPr>
        <w:tc>
          <w:tcPr>
            <w:tcW w:w="4268" w:type="dxa"/>
            <w:vMerge w:val="restart"/>
            <w:tcBorders>
              <w:top w:val="single" w:sz="4" w:space="0" w:color="auto"/>
              <w:left w:val="single" w:sz="4" w:space="0" w:color="auto"/>
              <w:bottom w:val="nil"/>
              <w:right w:val="single" w:sz="4" w:space="0" w:color="auto"/>
            </w:tcBorders>
            <w:shd w:val="clear" w:color="000000" w:fill="BFBFBF"/>
            <w:vAlign w:val="bottom"/>
            <w:hideMark/>
          </w:tcPr>
          <w:p w:rsidR="00763E38" w:rsidRPr="00763E38" w:rsidRDefault="00763E38" w:rsidP="00763E38">
            <w:pPr>
              <w:rPr>
                <w:rFonts w:cs="Arial"/>
                <w:b/>
                <w:bCs/>
                <w:color w:val="000000"/>
                <w:szCs w:val="22"/>
              </w:rPr>
            </w:pPr>
            <w:r w:rsidRPr="00763E38">
              <w:rPr>
                <w:rFonts w:cs="Arial"/>
                <w:b/>
                <w:bCs/>
                <w:color w:val="000000"/>
                <w:szCs w:val="22"/>
              </w:rPr>
              <w:t>Table 4 - Portfolio Position 31 March 2018</w:t>
            </w:r>
          </w:p>
        </w:tc>
        <w:tc>
          <w:tcPr>
            <w:tcW w:w="986" w:type="dxa"/>
            <w:tcBorders>
              <w:top w:val="single" w:sz="4" w:space="0" w:color="auto"/>
              <w:left w:val="nil"/>
              <w:bottom w:val="nil"/>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2018/19</w:t>
            </w:r>
          </w:p>
        </w:tc>
        <w:tc>
          <w:tcPr>
            <w:tcW w:w="1100" w:type="dxa"/>
            <w:tcBorders>
              <w:top w:val="single" w:sz="4" w:space="0" w:color="auto"/>
              <w:left w:val="nil"/>
              <w:bottom w:val="nil"/>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2018/19</w:t>
            </w:r>
          </w:p>
        </w:tc>
        <w:tc>
          <w:tcPr>
            <w:tcW w:w="1134" w:type="dxa"/>
            <w:tcBorders>
              <w:top w:val="single" w:sz="4" w:space="0" w:color="auto"/>
              <w:left w:val="nil"/>
              <w:bottom w:val="nil"/>
              <w:right w:val="single" w:sz="4" w:space="0" w:color="auto"/>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2018/19</w:t>
            </w:r>
          </w:p>
        </w:tc>
      </w:tr>
      <w:tr w:rsidR="00763E38" w:rsidRPr="00763E38" w:rsidTr="00763E38">
        <w:trPr>
          <w:trHeight w:val="300"/>
          <w:jc w:val="center"/>
        </w:trPr>
        <w:tc>
          <w:tcPr>
            <w:tcW w:w="4268" w:type="dxa"/>
            <w:vMerge/>
            <w:tcBorders>
              <w:top w:val="single" w:sz="4" w:space="0" w:color="auto"/>
              <w:left w:val="single" w:sz="4" w:space="0" w:color="auto"/>
              <w:bottom w:val="nil"/>
              <w:right w:val="single" w:sz="4" w:space="0" w:color="auto"/>
            </w:tcBorders>
            <w:vAlign w:val="center"/>
            <w:hideMark/>
          </w:tcPr>
          <w:p w:rsidR="00763E38" w:rsidRPr="00763E38" w:rsidRDefault="00763E38" w:rsidP="00763E38">
            <w:pPr>
              <w:rPr>
                <w:rFonts w:cs="Arial"/>
                <w:b/>
                <w:bCs/>
                <w:color w:val="000000"/>
                <w:szCs w:val="22"/>
              </w:rPr>
            </w:pPr>
          </w:p>
        </w:tc>
        <w:tc>
          <w:tcPr>
            <w:tcW w:w="986" w:type="dxa"/>
            <w:tcBorders>
              <w:top w:val="nil"/>
              <w:left w:val="nil"/>
              <w:bottom w:val="nil"/>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Estimate</w:t>
            </w:r>
          </w:p>
        </w:tc>
        <w:tc>
          <w:tcPr>
            <w:tcW w:w="1100" w:type="dxa"/>
            <w:tcBorders>
              <w:top w:val="nil"/>
              <w:left w:val="nil"/>
              <w:bottom w:val="nil"/>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Revised</w:t>
            </w:r>
          </w:p>
        </w:tc>
        <w:tc>
          <w:tcPr>
            <w:tcW w:w="1080" w:type="dxa"/>
            <w:tcBorders>
              <w:top w:val="nil"/>
              <w:left w:val="nil"/>
              <w:bottom w:val="nil"/>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Actual</w:t>
            </w:r>
          </w:p>
        </w:tc>
        <w:tc>
          <w:tcPr>
            <w:tcW w:w="1134" w:type="dxa"/>
            <w:tcBorders>
              <w:top w:val="nil"/>
              <w:left w:val="nil"/>
              <w:bottom w:val="nil"/>
              <w:right w:val="single" w:sz="4" w:space="0" w:color="auto"/>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Variance</w:t>
            </w:r>
          </w:p>
        </w:tc>
      </w:tr>
      <w:tr w:rsidR="00763E38" w:rsidRPr="00763E38" w:rsidTr="00763E38">
        <w:trPr>
          <w:trHeight w:val="300"/>
          <w:jc w:val="center"/>
        </w:trPr>
        <w:tc>
          <w:tcPr>
            <w:tcW w:w="4268" w:type="dxa"/>
            <w:tcBorders>
              <w:top w:val="nil"/>
              <w:left w:val="single" w:sz="4" w:space="0" w:color="auto"/>
              <w:bottom w:val="single" w:sz="4" w:space="0" w:color="auto"/>
              <w:right w:val="single" w:sz="4" w:space="0" w:color="auto"/>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 </w:t>
            </w:r>
          </w:p>
        </w:tc>
        <w:tc>
          <w:tcPr>
            <w:tcW w:w="986" w:type="dxa"/>
            <w:tcBorders>
              <w:top w:val="nil"/>
              <w:left w:val="nil"/>
              <w:bottom w:val="single" w:sz="4" w:space="0" w:color="auto"/>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£000</w:t>
            </w:r>
          </w:p>
        </w:tc>
        <w:tc>
          <w:tcPr>
            <w:tcW w:w="1100" w:type="dxa"/>
            <w:tcBorders>
              <w:top w:val="nil"/>
              <w:left w:val="nil"/>
              <w:bottom w:val="single" w:sz="4" w:space="0" w:color="auto"/>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£000</w:t>
            </w:r>
          </w:p>
        </w:tc>
        <w:tc>
          <w:tcPr>
            <w:tcW w:w="1134" w:type="dxa"/>
            <w:tcBorders>
              <w:top w:val="nil"/>
              <w:left w:val="nil"/>
              <w:bottom w:val="single" w:sz="4" w:space="0" w:color="auto"/>
              <w:right w:val="single" w:sz="4" w:space="0" w:color="auto"/>
            </w:tcBorders>
            <w:shd w:val="clear" w:color="000000" w:fill="BFBFBF"/>
            <w:noWrap/>
            <w:vAlign w:val="bottom"/>
            <w:hideMark/>
          </w:tcPr>
          <w:p w:rsidR="00763E38" w:rsidRPr="00763E38" w:rsidRDefault="00763E38" w:rsidP="00763E38">
            <w:pPr>
              <w:jc w:val="center"/>
              <w:rPr>
                <w:rFonts w:cs="Arial"/>
                <w:b/>
                <w:bCs/>
                <w:color w:val="000000"/>
                <w:szCs w:val="22"/>
              </w:rPr>
            </w:pPr>
            <w:r w:rsidRPr="00763E38">
              <w:rPr>
                <w:rFonts w:cs="Arial"/>
                <w:b/>
                <w:bCs/>
                <w:color w:val="000000"/>
                <w:szCs w:val="22"/>
              </w:rPr>
              <w:t>£000</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110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Debt at 1 April</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c>
          <w:tcPr>
            <w:tcW w:w="110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Other long-term liabilities (OLTL)</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749</w:t>
            </w:r>
          </w:p>
        </w:tc>
        <w:tc>
          <w:tcPr>
            <w:tcW w:w="110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900</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900</w:t>
            </w: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0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08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Total gross debt 1 April</w:t>
            </w:r>
          </w:p>
        </w:tc>
        <w:tc>
          <w:tcPr>
            <w:tcW w:w="986" w:type="dxa"/>
            <w:tcBorders>
              <w:top w:val="single" w:sz="4" w:space="0" w:color="auto"/>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749</w:t>
            </w:r>
          </w:p>
        </w:tc>
        <w:tc>
          <w:tcPr>
            <w:tcW w:w="1100" w:type="dxa"/>
            <w:tcBorders>
              <w:top w:val="single" w:sz="4" w:space="0" w:color="auto"/>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900</w:t>
            </w:r>
          </w:p>
        </w:tc>
        <w:tc>
          <w:tcPr>
            <w:tcW w:w="1080" w:type="dxa"/>
            <w:tcBorders>
              <w:top w:val="single" w:sz="4" w:space="0" w:color="auto"/>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900</w:t>
            </w:r>
          </w:p>
        </w:tc>
        <w:tc>
          <w:tcPr>
            <w:tcW w:w="1134" w:type="dxa"/>
            <w:tcBorders>
              <w:top w:val="single" w:sz="4" w:space="0" w:color="auto"/>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0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08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Change in Debt</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1,750</w:t>
            </w:r>
          </w:p>
        </w:tc>
        <w:tc>
          <w:tcPr>
            <w:tcW w:w="110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0</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Change in OLTL</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(212)</w:t>
            </w:r>
          </w:p>
        </w:tc>
        <w:tc>
          <w:tcPr>
            <w:tcW w:w="110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(213)</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(298)</w:t>
            </w: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(85)</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0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08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Expected change in gross debt</w:t>
            </w:r>
          </w:p>
        </w:tc>
        <w:tc>
          <w:tcPr>
            <w:tcW w:w="986" w:type="dxa"/>
            <w:tcBorders>
              <w:top w:val="single" w:sz="4" w:space="0" w:color="auto"/>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1,538</w:t>
            </w:r>
          </w:p>
        </w:tc>
        <w:tc>
          <w:tcPr>
            <w:tcW w:w="1100" w:type="dxa"/>
            <w:tcBorders>
              <w:top w:val="single" w:sz="4" w:space="0" w:color="auto"/>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(213)</w:t>
            </w:r>
          </w:p>
        </w:tc>
        <w:tc>
          <w:tcPr>
            <w:tcW w:w="1080" w:type="dxa"/>
            <w:tcBorders>
              <w:top w:val="single" w:sz="4" w:space="0" w:color="auto"/>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(298)</w:t>
            </w:r>
          </w:p>
        </w:tc>
        <w:tc>
          <w:tcPr>
            <w:tcW w:w="1134" w:type="dxa"/>
            <w:tcBorders>
              <w:top w:val="single" w:sz="4" w:space="0" w:color="auto"/>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(85)</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0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08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Gross debt 31 March</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2,287</w:t>
            </w:r>
          </w:p>
        </w:tc>
        <w:tc>
          <w:tcPr>
            <w:tcW w:w="110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687</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602</w:t>
            </w: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(85)</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0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xml:space="preserve"> </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Capital Financing Requirement (Table 3)</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6,360</w:t>
            </w:r>
          </w:p>
        </w:tc>
        <w:tc>
          <w:tcPr>
            <w:tcW w:w="110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3,843</w:t>
            </w:r>
          </w:p>
        </w:tc>
        <w:tc>
          <w:tcPr>
            <w:tcW w:w="1080" w:type="dxa"/>
            <w:tcBorders>
              <w:top w:val="nil"/>
              <w:left w:val="nil"/>
              <w:bottom w:val="nil"/>
              <w:right w:val="nil"/>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3,740</w:t>
            </w: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jc w:val="right"/>
              <w:rPr>
                <w:rFonts w:cs="Arial"/>
                <w:color w:val="000000"/>
                <w:szCs w:val="22"/>
              </w:rPr>
            </w:pPr>
            <w:r w:rsidRPr="00763E38">
              <w:rPr>
                <w:rFonts w:cs="Arial"/>
                <w:color w:val="000000"/>
                <w:szCs w:val="22"/>
              </w:rPr>
              <w:t>(103)</w:t>
            </w:r>
          </w:p>
        </w:tc>
      </w:tr>
      <w:tr w:rsidR="00763E38" w:rsidRPr="00763E38" w:rsidTr="00763E38">
        <w:trPr>
          <w:trHeight w:val="285"/>
          <w:jc w:val="center"/>
        </w:trPr>
        <w:tc>
          <w:tcPr>
            <w:tcW w:w="4268" w:type="dxa"/>
            <w:tcBorders>
              <w:top w:val="nil"/>
              <w:left w:val="single" w:sz="4" w:space="0" w:color="auto"/>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c>
          <w:tcPr>
            <w:tcW w:w="986"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0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080" w:type="dxa"/>
            <w:tcBorders>
              <w:top w:val="nil"/>
              <w:left w:val="nil"/>
              <w:bottom w:val="nil"/>
              <w:right w:val="nil"/>
            </w:tcBorders>
            <w:shd w:val="clear" w:color="auto" w:fill="auto"/>
            <w:noWrap/>
            <w:vAlign w:val="bottom"/>
            <w:hideMark/>
          </w:tcPr>
          <w:p w:rsidR="00763E38" w:rsidRPr="00763E38" w:rsidRDefault="00763E38" w:rsidP="00763E38">
            <w:pPr>
              <w:rPr>
                <w:rFonts w:cs="Arial"/>
                <w:color w:val="000000"/>
                <w:szCs w:val="22"/>
              </w:rPr>
            </w:pPr>
          </w:p>
        </w:tc>
        <w:tc>
          <w:tcPr>
            <w:tcW w:w="1134" w:type="dxa"/>
            <w:tcBorders>
              <w:top w:val="nil"/>
              <w:left w:val="nil"/>
              <w:bottom w:val="nil"/>
              <w:right w:val="single" w:sz="4" w:space="0" w:color="auto"/>
            </w:tcBorders>
            <w:shd w:val="clear" w:color="auto" w:fill="auto"/>
            <w:noWrap/>
            <w:vAlign w:val="bottom"/>
            <w:hideMark/>
          </w:tcPr>
          <w:p w:rsidR="00763E38" w:rsidRPr="00763E38" w:rsidRDefault="00763E38" w:rsidP="00763E38">
            <w:pPr>
              <w:rPr>
                <w:rFonts w:cs="Arial"/>
                <w:color w:val="000000"/>
                <w:szCs w:val="22"/>
              </w:rPr>
            </w:pPr>
            <w:r w:rsidRPr="00763E38">
              <w:rPr>
                <w:rFonts w:cs="Arial"/>
                <w:color w:val="000000"/>
                <w:szCs w:val="22"/>
              </w:rPr>
              <w:t> </w:t>
            </w:r>
          </w:p>
        </w:tc>
      </w:tr>
      <w:tr w:rsidR="00763E38" w:rsidRPr="00763E38" w:rsidTr="00763E38">
        <w:trPr>
          <w:trHeight w:val="300"/>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763E38" w:rsidRPr="00763E38" w:rsidRDefault="00763E38" w:rsidP="00763E38">
            <w:pPr>
              <w:rPr>
                <w:rFonts w:cs="Arial"/>
                <w:b/>
                <w:bCs/>
                <w:color w:val="000000"/>
                <w:szCs w:val="22"/>
              </w:rPr>
            </w:pPr>
            <w:r w:rsidRPr="00763E38">
              <w:rPr>
                <w:rFonts w:cs="Arial"/>
                <w:b/>
                <w:bCs/>
                <w:color w:val="000000"/>
                <w:szCs w:val="22"/>
              </w:rPr>
              <w:t>Under borrowing</w:t>
            </w:r>
          </w:p>
        </w:tc>
        <w:tc>
          <w:tcPr>
            <w:tcW w:w="986" w:type="dxa"/>
            <w:tcBorders>
              <w:top w:val="single" w:sz="4" w:space="0" w:color="auto"/>
              <w:left w:val="nil"/>
              <w:bottom w:val="single" w:sz="4" w:space="0" w:color="auto"/>
              <w:right w:val="nil"/>
            </w:tcBorders>
            <w:shd w:val="clear" w:color="auto" w:fill="auto"/>
            <w:noWrap/>
            <w:vAlign w:val="bottom"/>
            <w:hideMark/>
          </w:tcPr>
          <w:p w:rsidR="00763E38" w:rsidRPr="00763E38" w:rsidRDefault="00763E38" w:rsidP="00763E38">
            <w:pPr>
              <w:jc w:val="right"/>
              <w:rPr>
                <w:rFonts w:cs="Arial"/>
                <w:b/>
                <w:bCs/>
                <w:color w:val="000000"/>
                <w:szCs w:val="22"/>
              </w:rPr>
            </w:pPr>
            <w:r w:rsidRPr="00763E38">
              <w:rPr>
                <w:rFonts w:cs="Arial"/>
                <w:b/>
                <w:bCs/>
                <w:color w:val="000000"/>
                <w:szCs w:val="22"/>
              </w:rPr>
              <w:t>4,073</w:t>
            </w:r>
          </w:p>
        </w:tc>
        <w:tc>
          <w:tcPr>
            <w:tcW w:w="1100" w:type="dxa"/>
            <w:tcBorders>
              <w:top w:val="single" w:sz="4" w:space="0" w:color="auto"/>
              <w:left w:val="nil"/>
              <w:bottom w:val="single" w:sz="4" w:space="0" w:color="auto"/>
              <w:right w:val="nil"/>
            </w:tcBorders>
            <w:shd w:val="clear" w:color="auto" w:fill="auto"/>
            <w:noWrap/>
            <w:vAlign w:val="bottom"/>
            <w:hideMark/>
          </w:tcPr>
          <w:p w:rsidR="00763E38" w:rsidRPr="00763E38" w:rsidRDefault="00763E38" w:rsidP="00763E38">
            <w:pPr>
              <w:jc w:val="right"/>
              <w:rPr>
                <w:rFonts w:cs="Arial"/>
                <w:b/>
                <w:bCs/>
                <w:color w:val="000000"/>
                <w:szCs w:val="22"/>
              </w:rPr>
            </w:pPr>
            <w:r w:rsidRPr="00763E38">
              <w:rPr>
                <w:rFonts w:cs="Arial"/>
                <w:b/>
                <w:bCs/>
                <w:color w:val="000000"/>
                <w:szCs w:val="22"/>
              </w:rPr>
              <w:t>3,156</w:t>
            </w:r>
          </w:p>
        </w:tc>
        <w:tc>
          <w:tcPr>
            <w:tcW w:w="1080" w:type="dxa"/>
            <w:tcBorders>
              <w:top w:val="single" w:sz="4" w:space="0" w:color="auto"/>
              <w:left w:val="nil"/>
              <w:bottom w:val="single" w:sz="4" w:space="0" w:color="auto"/>
              <w:right w:val="nil"/>
            </w:tcBorders>
            <w:shd w:val="clear" w:color="auto" w:fill="auto"/>
            <w:noWrap/>
            <w:vAlign w:val="bottom"/>
            <w:hideMark/>
          </w:tcPr>
          <w:p w:rsidR="00763E38" w:rsidRPr="00763E38" w:rsidRDefault="00763E38" w:rsidP="00763E38">
            <w:pPr>
              <w:jc w:val="right"/>
              <w:rPr>
                <w:rFonts w:cs="Arial"/>
                <w:b/>
                <w:bCs/>
                <w:color w:val="000000"/>
                <w:szCs w:val="22"/>
              </w:rPr>
            </w:pPr>
            <w:r w:rsidRPr="00763E38">
              <w:rPr>
                <w:rFonts w:cs="Arial"/>
                <w:b/>
                <w:bCs/>
                <w:color w:val="000000"/>
                <w:szCs w:val="22"/>
              </w:rPr>
              <w:t>3,138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3E38" w:rsidRPr="00763E38" w:rsidRDefault="00763E38" w:rsidP="00763E38">
            <w:pPr>
              <w:jc w:val="right"/>
              <w:rPr>
                <w:rFonts w:cs="Arial"/>
                <w:b/>
                <w:bCs/>
                <w:color w:val="000000"/>
                <w:szCs w:val="22"/>
              </w:rPr>
            </w:pPr>
            <w:r w:rsidRPr="00763E38">
              <w:rPr>
                <w:rFonts w:cs="Arial"/>
                <w:b/>
                <w:bCs/>
                <w:color w:val="000000"/>
                <w:szCs w:val="22"/>
              </w:rPr>
              <w:t>(18)</w:t>
            </w:r>
          </w:p>
        </w:tc>
      </w:tr>
    </w:tbl>
    <w:p w:rsidR="00A5653A" w:rsidRPr="00A5653A" w:rsidRDefault="00A5653A" w:rsidP="00A5653A">
      <w:pPr>
        <w:keepNext/>
        <w:ind w:left="284"/>
        <w:jc w:val="both"/>
        <w:outlineLvl w:val="0"/>
        <w:rPr>
          <w:szCs w:val="22"/>
        </w:rPr>
      </w:pPr>
    </w:p>
    <w:p w:rsidR="00763E38" w:rsidRDefault="00763E38" w:rsidP="009E7DA2">
      <w:pPr>
        <w:keepNext/>
        <w:numPr>
          <w:ilvl w:val="1"/>
          <w:numId w:val="1"/>
        </w:numPr>
        <w:ind w:left="851" w:hanging="567"/>
        <w:jc w:val="both"/>
        <w:outlineLvl w:val="0"/>
        <w:rPr>
          <w:szCs w:val="22"/>
        </w:rPr>
      </w:pPr>
      <w:r>
        <w:rPr>
          <w:b/>
          <w:szCs w:val="22"/>
        </w:rPr>
        <w:t>The authorised limit.</w:t>
      </w:r>
      <w:r>
        <w:rPr>
          <w:szCs w:val="22"/>
        </w:rPr>
        <w:t xml:space="preserve"> This is the “affordable borrowing limit” required by s3 of the Local Government Act 2003. Once this has been set, the Council does not have the power to borrow above this level. The revised limit set for 2018/19 by Council on 27 February 2019 was £3.687m and actual gross borrowing shown in Table 4 was £0.602m. The Council has maintained gross borrowing within its authorised limit.</w:t>
      </w:r>
    </w:p>
    <w:p w:rsidR="00763E38" w:rsidRDefault="00763E38" w:rsidP="00763E38">
      <w:pPr>
        <w:keepNext/>
        <w:ind w:left="851"/>
        <w:jc w:val="both"/>
        <w:outlineLvl w:val="0"/>
        <w:rPr>
          <w:szCs w:val="22"/>
        </w:rPr>
      </w:pPr>
    </w:p>
    <w:p w:rsidR="00763E38" w:rsidRDefault="00763E38" w:rsidP="009E7DA2">
      <w:pPr>
        <w:keepNext/>
        <w:numPr>
          <w:ilvl w:val="1"/>
          <w:numId w:val="1"/>
        </w:numPr>
        <w:ind w:left="851" w:hanging="567"/>
        <w:jc w:val="both"/>
        <w:outlineLvl w:val="0"/>
        <w:rPr>
          <w:szCs w:val="22"/>
        </w:rPr>
      </w:pPr>
      <w:r w:rsidRPr="00763E38">
        <w:rPr>
          <w:b/>
          <w:szCs w:val="22"/>
        </w:rPr>
        <w:t>The operational boundary.</w:t>
      </w:r>
      <w:r>
        <w:rPr>
          <w:b/>
          <w:szCs w:val="22"/>
        </w:rPr>
        <w:t xml:space="preserve"> </w:t>
      </w:r>
      <w:r w:rsidRPr="00763E38">
        <w:rPr>
          <w:szCs w:val="22"/>
        </w:rPr>
        <w:t>This is the expected borrowing posi</w:t>
      </w:r>
      <w:r>
        <w:rPr>
          <w:szCs w:val="22"/>
        </w:rPr>
        <w:t xml:space="preserve">tion of the Council during the </w:t>
      </w:r>
      <w:r w:rsidRPr="00763E38">
        <w:rPr>
          <w:szCs w:val="22"/>
        </w:rPr>
        <w:t>y</w:t>
      </w:r>
      <w:r>
        <w:rPr>
          <w:szCs w:val="22"/>
        </w:rPr>
        <w:t>e</w:t>
      </w:r>
      <w:r w:rsidRPr="00763E38">
        <w:rPr>
          <w:szCs w:val="22"/>
        </w:rPr>
        <w:t xml:space="preserve">ar. Periods where the </w:t>
      </w:r>
      <w:r>
        <w:rPr>
          <w:szCs w:val="22"/>
        </w:rPr>
        <w:t>actual position is either below</w:t>
      </w:r>
      <w:r w:rsidRPr="00763E38">
        <w:rPr>
          <w:szCs w:val="22"/>
        </w:rPr>
        <w:t xml:space="preserve"> or</w:t>
      </w:r>
      <w:r>
        <w:rPr>
          <w:b/>
          <w:szCs w:val="22"/>
        </w:rPr>
        <w:t xml:space="preserve"> </w:t>
      </w:r>
      <w:r w:rsidRPr="00763E38">
        <w:rPr>
          <w:szCs w:val="22"/>
        </w:rPr>
        <w:t>over the boundary are acceptable subject to the authorised limit not being breached.</w:t>
      </w:r>
      <w:r>
        <w:rPr>
          <w:szCs w:val="22"/>
        </w:rPr>
        <w:t xml:space="preserve"> The revised operational boundary set for 2018/19 was £0.687m and actual gross debt at 31 March 2019 was £0.602m.</w:t>
      </w:r>
    </w:p>
    <w:p w:rsidR="00763E38" w:rsidRDefault="00763E38" w:rsidP="00763E38"/>
    <w:p w:rsidR="00763E38" w:rsidRDefault="00763E38" w:rsidP="009E7DA2">
      <w:pPr>
        <w:keepNext/>
        <w:numPr>
          <w:ilvl w:val="1"/>
          <w:numId w:val="1"/>
        </w:numPr>
        <w:ind w:left="851" w:hanging="567"/>
        <w:jc w:val="both"/>
        <w:outlineLvl w:val="0"/>
        <w:rPr>
          <w:szCs w:val="22"/>
        </w:rPr>
      </w:pPr>
      <w:r>
        <w:rPr>
          <w:b/>
          <w:szCs w:val="22"/>
        </w:rPr>
        <w:t>Actual financing costs as a proportion of net revenue stream.</w:t>
      </w:r>
      <w:r>
        <w:rPr>
          <w:szCs w:val="22"/>
        </w:rPr>
        <w:t xml:space="preserve"> This indicator identifies the trend in the cost of capital (borrowing and other long term obligation costs net of investment income), against the revenue stream (council tax, business rates, and various Government grants).</w:t>
      </w:r>
    </w:p>
    <w:p w:rsidR="00B827C7" w:rsidRDefault="00B827C7" w:rsidP="00B827C7">
      <w:pPr>
        <w:pStyle w:val="ListParagraph"/>
      </w:pPr>
    </w:p>
    <w:tbl>
      <w:tblPr>
        <w:tblW w:w="8780" w:type="dxa"/>
        <w:jc w:val="center"/>
        <w:tblLook w:val="04A0" w:firstRow="1" w:lastRow="0" w:firstColumn="1" w:lastColumn="0" w:noHBand="0" w:noVBand="1"/>
      </w:tblPr>
      <w:tblGrid>
        <w:gridCol w:w="4460"/>
        <w:gridCol w:w="1134"/>
        <w:gridCol w:w="1080"/>
        <w:gridCol w:w="1080"/>
        <w:gridCol w:w="1134"/>
      </w:tblGrid>
      <w:tr w:rsidR="00B827C7" w:rsidRPr="00B827C7" w:rsidTr="00B827C7">
        <w:trPr>
          <w:trHeight w:val="300"/>
          <w:jc w:val="center"/>
        </w:trPr>
        <w:tc>
          <w:tcPr>
            <w:tcW w:w="4460" w:type="dxa"/>
            <w:vMerge w:val="restart"/>
            <w:tcBorders>
              <w:top w:val="single" w:sz="4" w:space="0" w:color="auto"/>
              <w:left w:val="single" w:sz="4" w:space="0" w:color="auto"/>
              <w:bottom w:val="nil"/>
              <w:right w:val="single" w:sz="4" w:space="0" w:color="auto"/>
            </w:tcBorders>
            <w:shd w:val="clear" w:color="000000" w:fill="BFBFBF"/>
            <w:vAlign w:val="bottom"/>
            <w:hideMark/>
          </w:tcPr>
          <w:p w:rsidR="00B827C7" w:rsidRPr="00B827C7" w:rsidRDefault="00B827C7" w:rsidP="00B827C7">
            <w:pPr>
              <w:rPr>
                <w:rFonts w:cs="Arial"/>
                <w:b/>
                <w:bCs/>
                <w:color w:val="000000"/>
                <w:szCs w:val="22"/>
              </w:rPr>
            </w:pPr>
            <w:r w:rsidRPr="00B827C7">
              <w:rPr>
                <w:rFonts w:cs="Arial"/>
                <w:b/>
                <w:bCs/>
                <w:color w:val="000000"/>
                <w:szCs w:val="22"/>
              </w:rPr>
              <w:t>Table 5 - Ratio of Financing Costs to Net Revenue Stream 2018/19</w:t>
            </w:r>
          </w:p>
        </w:tc>
        <w:tc>
          <w:tcPr>
            <w:tcW w:w="1080" w:type="dxa"/>
            <w:tcBorders>
              <w:top w:val="single" w:sz="4" w:space="0" w:color="auto"/>
              <w:left w:val="nil"/>
              <w:bottom w:val="nil"/>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2018/19</w:t>
            </w:r>
          </w:p>
        </w:tc>
        <w:tc>
          <w:tcPr>
            <w:tcW w:w="1080" w:type="dxa"/>
            <w:tcBorders>
              <w:top w:val="single" w:sz="4" w:space="0" w:color="auto"/>
              <w:left w:val="nil"/>
              <w:bottom w:val="nil"/>
              <w:right w:val="single" w:sz="4" w:space="0" w:color="auto"/>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2018/19</w:t>
            </w:r>
          </w:p>
        </w:tc>
      </w:tr>
      <w:tr w:rsidR="00B827C7" w:rsidRPr="00B827C7" w:rsidTr="00B827C7">
        <w:trPr>
          <w:trHeight w:val="300"/>
          <w:jc w:val="center"/>
        </w:trPr>
        <w:tc>
          <w:tcPr>
            <w:tcW w:w="4460" w:type="dxa"/>
            <w:vMerge/>
            <w:tcBorders>
              <w:top w:val="single" w:sz="4" w:space="0" w:color="auto"/>
              <w:left w:val="single" w:sz="4" w:space="0" w:color="auto"/>
              <w:bottom w:val="nil"/>
              <w:right w:val="single" w:sz="4" w:space="0" w:color="auto"/>
            </w:tcBorders>
            <w:vAlign w:val="center"/>
            <w:hideMark/>
          </w:tcPr>
          <w:p w:rsidR="00B827C7" w:rsidRPr="00B827C7" w:rsidRDefault="00B827C7" w:rsidP="00B827C7">
            <w:pPr>
              <w:rPr>
                <w:rFonts w:cs="Arial"/>
                <w:b/>
                <w:bCs/>
                <w:color w:val="000000"/>
                <w:szCs w:val="22"/>
              </w:rPr>
            </w:pPr>
          </w:p>
        </w:tc>
        <w:tc>
          <w:tcPr>
            <w:tcW w:w="1080" w:type="dxa"/>
            <w:tcBorders>
              <w:top w:val="nil"/>
              <w:left w:val="nil"/>
              <w:bottom w:val="nil"/>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Estimate</w:t>
            </w:r>
          </w:p>
        </w:tc>
        <w:tc>
          <w:tcPr>
            <w:tcW w:w="1080" w:type="dxa"/>
            <w:tcBorders>
              <w:top w:val="nil"/>
              <w:left w:val="nil"/>
              <w:bottom w:val="nil"/>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revised</w:t>
            </w:r>
          </w:p>
        </w:tc>
        <w:tc>
          <w:tcPr>
            <w:tcW w:w="1080" w:type="dxa"/>
            <w:tcBorders>
              <w:top w:val="nil"/>
              <w:left w:val="nil"/>
              <w:bottom w:val="nil"/>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Actual</w:t>
            </w:r>
          </w:p>
        </w:tc>
        <w:tc>
          <w:tcPr>
            <w:tcW w:w="1080" w:type="dxa"/>
            <w:tcBorders>
              <w:top w:val="nil"/>
              <w:left w:val="nil"/>
              <w:bottom w:val="nil"/>
              <w:right w:val="single" w:sz="4" w:space="0" w:color="auto"/>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Variance</w:t>
            </w:r>
          </w:p>
        </w:tc>
      </w:tr>
      <w:tr w:rsidR="00B827C7" w:rsidRPr="00B827C7" w:rsidTr="00B827C7">
        <w:trPr>
          <w:trHeight w:val="300"/>
          <w:jc w:val="center"/>
        </w:trPr>
        <w:tc>
          <w:tcPr>
            <w:tcW w:w="4460" w:type="dxa"/>
            <w:tcBorders>
              <w:top w:val="nil"/>
              <w:left w:val="single" w:sz="4" w:space="0" w:color="auto"/>
              <w:bottom w:val="single" w:sz="4" w:space="0" w:color="auto"/>
              <w:right w:val="single" w:sz="4" w:space="0" w:color="auto"/>
            </w:tcBorders>
            <w:shd w:val="clear" w:color="000000" w:fill="BFBFBF"/>
            <w:vAlign w:val="bottom"/>
            <w:hideMark/>
          </w:tcPr>
          <w:p w:rsidR="00B827C7" w:rsidRPr="00B827C7" w:rsidRDefault="00B827C7" w:rsidP="00B827C7">
            <w:pPr>
              <w:rPr>
                <w:rFonts w:cs="Arial"/>
                <w:b/>
                <w:bCs/>
                <w:color w:val="000000"/>
                <w:szCs w:val="22"/>
              </w:rPr>
            </w:pPr>
            <w:r w:rsidRPr="00B827C7">
              <w:rPr>
                <w:rFonts w:cs="Arial"/>
                <w:b/>
                <w:bCs/>
                <w:color w:val="000000"/>
                <w:szCs w:val="22"/>
              </w:rPr>
              <w:t> </w:t>
            </w:r>
          </w:p>
        </w:tc>
        <w:tc>
          <w:tcPr>
            <w:tcW w:w="1080" w:type="dxa"/>
            <w:tcBorders>
              <w:top w:val="nil"/>
              <w:left w:val="nil"/>
              <w:bottom w:val="single" w:sz="4" w:space="0" w:color="auto"/>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w:t>
            </w:r>
          </w:p>
        </w:tc>
        <w:tc>
          <w:tcPr>
            <w:tcW w:w="1080" w:type="dxa"/>
            <w:tcBorders>
              <w:top w:val="nil"/>
              <w:left w:val="nil"/>
              <w:bottom w:val="single" w:sz="4" w:space="0" w:color="auto"/>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w:t>
            </w:r>
          </w:p>
        </w:tc>
        <w:tc>
          <w:tcPr>
            <w:tcW w:w="1080" w:type="dxa"/>
            <w:tcBorders>
              <w:top w:val="nil"/>
              <w:left w:val="nil"/>
              <w:bottom w:val="single" w:sz="4" w:space="0" w:color="auto"/>
              <w:right w:val="nil"/>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w:t>
            </w:r>
          </w:p>
        </w:tc>
        <w:tc>
          <w:tcPr>
            <w:tcW w:w="1080" w:type="dxa"/>
            <w:tcBorders>
              <w:top w:val="nil"/>
              <w:left w:val="nil"/>
              <w:bottom w:val="single" w:sz="4" w:space="0" w:color="auto"/>
              <w:right w:val="single" w:sz="4" w:space="0" w:color="auto"/>
            </w:tcBorders>
            <w:shd w:val="clear" w:color="000000" w:fill="BFBFBF"/>
            <w:noWrap/>
            <w:vAlign w:val="bottom"/>
            <w:hideMark/>
          </w:tcPr>
          <w:p w:rsidR="00B827C7" w:rsidRPr="00B827C7" w:rsidRDefault="00B827C7" w:rsidP="00B827C7">
            <w:pPr>
              <w:jc w:val="center"/>
              <w:rPr>
                <w:rFonts w:cs="Arial"/>
                <w:b/>
                <w:bCs/>
                <w:color w:val="000000"/>
                <w:szCs w:val="22"/>
              </w:rPr>
            </w:pPr>
            <w:r w:rsidRPr="00B827C7">
              <w:rPr>
                <w:rFonts w:cs="Arial"/>
                <w:b/>
                <w:bCs/>
                <w:color w:val="000000"/>
                <w:szCs w:val="22"/>
              </w:rPr>
              <w:t>%</w:t>
            </w:r>
          </w:p>
        </w:tc>
      </w:tr>
      <w:tr w:rsidR="00B827C7" w:rsidRPr="00B827C7" w:rsidTr="00B827C7">
        <w:trPr>
          <w:trHeight w:val="285"/>
          <w:jc w:val="center"/>
        </w:trPr>
        <w:tc>
          <w:tcPr>
            <w:tcW w:w="4460" w:type="dxa"/>
            <w:tcBorders>
              <w:top w:val="nil"/>
              <w:left w:val="single" w:sz="4" w:space="0" w:color="auto"/>
              <w:bottom w:val="nil"/>
              <w:right w:val="single" w:sz="4" w:space="0" w:color="auto"/>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nil"/>
              <w:right w:val="nil"/>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nil"/>
              <w:right w:val="nil"/>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nil"/>
              <w:right w:val="nil"/>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r>
      <w:tr w:rsidR="00B827C7" w:rsidRPr="00B827C7" w:rsidTr="00B827C7">
        <w:trPr>
          <w:trHeight w:val="285"/>
          <w:jc w:val="center"/>
        </w:trPr>
        <w:tc>
          <w:tcPr>
            <w:tcW w:w="4460" w:type="dxa"/>
            <w:tcBorders>
              <w:top w:val="nil"/>
              <w:left w:val="single" w:sz="4" w:space="0" w:color="auto"/>
              <w:bottom w:val="nil"/>
              <w:right w:val="single" w:sz="4" w:space="0" w:color="auto"/>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Ratio</w:t>
            </w:r>
          </w:p>
        </w:tc>
        <w:tc>
          <w:tcPr>
            <w:tcW w:w="1080" w:type="dxa"/>
            <w:tcBorders>
              <w:top w:val="nil"/>
              <w:left w:val="nil"/>
              <w:bottom w:val="nil"/>
              <w:right w:val="nil"/>
            </w:tcBorders>
            <w:shd w:val="clear" w:color="auto" w:fill="auto"/>
            <w:noWrap/>
            <w:vAlign w:val="bottom"/>
            <w:hideMark/>
          </w:tcPr>
          <w:p w:rsidR="00B827C7" w:rsidRPr="00B827C7" w:rsidRDefault="00B827C7" w:rsidP="00B827C7">
            <w:pPr>
              <w:jc w:val="right"/>
              <w:rPr>
                <w:rFonts w:cs="Arial"/>
                <w:color w:val="000000"/>
                <w:szCs w:val="22"/>
              </w:rPr>
            </w:pPr>
            <w:r w:rsidRPr="00B827C7">
              <w:rPr>
                <w:rFonts w:cs="Arial"/>
                <w:color w:val="000000"/>
                <w:szCs w:val="22"/>
              </w:rPr>
              <w:t>7.95</w:t>
            </w:r>
          </w:p>
        </w:tc>
        <w:tc>
          <w:tcPr>
            <w:tcW w:w="1080" w:type="dxa"/>
            <w:tcBorders>
              <w:top w:val="nil"/>
              <w:left w:val="nil"/>
              <w:bottom w:val="nil"/>
              <w:right w:val="nil"/>
            </w:tcBorders>
            <w:shd w:val="clear" w:color="auto" w:fill="auto"/>
            <w:noWrap/>
            <w:vAlign w:val="bottom"/>
            <w:hideMark/>
          </w:tcPr>
          <w:p w:rsidR="00B827C7" w:rsidRPr="00B827C7" w:rsidRDefault="00B827C7" w:rsidP="00B827C7">
            <w:pPr>
              <w:jc w:val="right"/>
              <w:rPr>
                <w:rFonts w:cs="Arial"/>
                <w:color w:val="000000"/>
                <w:szCs w:val="22"/>
              </w:rPr>
            </w:pPr>
            <w:r w:rsidRPr="00B827C7">
              <w:rPr>
                <w:rFonts w:cs="Arial"/>
                <w:color w:val="000000"/>
                <w:szCs w:val="22"/>
              </w:rPr>
              <w:t>5.59</w:t>
            </w:r>
          </w:p>
        </w:tc>
        <w:tc>
          <w:tcPr>
            <w:tcW w:w="1080" w:type="dxa"/>
            <w:tcBorders>
              <w:top w:val="nil"/>
              <w:left w:val="nil"/>
              <w:bottom w:val="nil"/>
              <w:right w:val="nil"/>
            </w:tcBorders>
            <w:shd w:val="clear" w:color="auto" w:fill="auto"/>
            <w:noWrap/>
            <w:vAlign w:val="bottom"/>
            <w:hideMark/>
          </w:tcPr>
          <w:p w:rsidR="00B827C7" w:rsidRPr="00B827C7" w:rsidRDefault="00B827C7" w:rsidP="00B827C7">
            <w:pPr>
              <w:jc w:val="right"/>
              <w:rPr>
                <w:rFonts w:cs="Arial"/>
                <w:color w:val="000000"/>
                <w:szCs w:val="22"/>
              </w:rPr>
            </w:pPr>
            <w:r w:rsidRPr="00B827C7">
              <w:rPr>
                <w:rFonts w:cs="Arial"/>
                <w:color w:val="000000"/>
                <w:szCs w:val="22"/>
              </w:rPr>
              <w:t>5.04</w:t>
            </w:r>
          </w:p>
        </w:tc>
        <w:tc>
          <w:tcPr>
            <w:tcW w:w="1080" w:type="dxa"/>
            <w:tcBorders>
              <w:top w:val="nil"/>
              <w:left w:val="nil"/>
              <w:bottom w:val="nil"/>
              <w:right w:val="single" w:sz="4" w:space="0" w:color="auto"/>
            </w:tcBorders>
            <w:shd w:val="clear" w:color="auto" w:fill="auto"/>
            <w:noWrap/>
            <w:vAlign w:val="bottom"/>
            <w:hideMark/>
          </w:tcPr>
          <w:p w:rsidR="00B827C7" w:rsidRPr="00B827C7" w:rsidRDefault="00B827C7" w:rsidP="00B827C7">
            <w:pPr>
              <w:jc w:val="right"/>
              <w:rPr>
                <w:rFonts w:cs="Arial"/>
                <w:color w:val="000000"/>
                <w:szCs w:val="22"/>
              </w:rPr>
            </w:pPr>
            <w:r w:rsidRPr="00B827C7">
              <w:rPr>
                <w:rFonts w:cs="Arial"/>
                <w:color w:val="000000"/>
                <w:szCs w:val="22"/>
              </w:rPr>
              <w:t>-0.55</w:t>
            </w:r>
          </w:p>
        </w:tc>
      </w:tr>
      <w:tr w:rsidR="00B827C7" w:rsidRPr="00B827C7" w:rsidTr="00B827C7">
        <w:trPr>
          <w:trHeight w:val="285"/>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single" w:sz="4" w:space="0" w:color="auto"/>
              <w:right w:val="nil"/>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single" w:sz="4" w:space="0" w:color="auto"/>
              <w:right w:val="nil"/>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single" w:sz="4" w:space="0" w:color="auto"/>
              <w:right w:val="nil"/>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827C7" w:rsidRPr="00B827C7" w:rsidRDefault="00B827C7" w:rsidP="00B827C7">
            <w:pPr>
              <w:rPr>
                <w:rFonts w:cs="Arial"/>
                <w:color w:val="000000"/>
                <w:szCs w:val="22"/>
              </w:rPr>
            </w:pPr>
            <w:r w:rsidRPr="00B827C7">
              <w:rPr>
                <w:rFonts w:cs="Arial"/>
                <w:color w:val="000000"/>
                <w:szCs w:val="22"/>
              </w:rPr>
              <w:t> </w:t>
            </w:r>
          </w:p>
        </w:tc>
      </w:tr>
    </w:tbl>
    <w:p w:rsidR="00B827C7" w:rsidRDefault="00B827C7" w:rsidP="00B827C7">
      <w:pPr>
        <w:pStyle w:val="ListParagraph"/>
      </w:pPr>
    </w:p>
    <w:p w:rsidR="00B827C7" w:rsidRDefault="00B827C7" w:rsidP="00B827C7">
      <w:pPr>
        <w:pStyle w:val="ListParagraph"/>
        <w:rPr>
          <w:rFonts w:ascii="Arial" w:hAnsi="Arial" w:cs="Arial"/>
        </w:rPr>
      </w:pPr>
      <w:r w:rsidRPr="00B827C7">
        <w:rPr>
          <w:rFonts w:ascii="Arial" w:hAnsi="Arial" w:cs="Arial"/>
        </w:rPr>
        <w:t xml:space="preserve">The </w:t>
      </w:r>
      <w:r>
        <w:rPr>
          <w:rFonts w:ascii="Arial" w:hAnsi="Arial" w:cs="Arial"/>
        </w:rPr>
        <w:t xml:space="preserve">actual </w:t>
      </w:r>
      <w:r w:rsidRPr="00B827C7">
        <w:rPr>
          <w:rFonts w:ascii="Arial" w:hAnsi="Arial" w:cs="Arial"/>
        </w:rPr>
        <w:t xml:space="preserve">ratio </w:t>
      </w:r>
      <w:r>
        <w:rPr>
          <w:rFonts w:ascii="Arial" w:hAnsi="Arial" w:cs="Arial"/>
        </w:rPr>
        <w:t>was lower than estimated in 2018/19 because net financing costs were lower than estimated and the revenue stream was higher.</w:t>
      </w:r>
    </w:p>
    <w:p w:rsidR="00B827C7" w:rsidRPr="00B827C7" w:rsidRDefault="00B827C7" w:rsidP="00B827C7">
      <w:pPr>
        <w:pStyle w:val="ListParagraph"/>
        <w:rPr>
          <w:rFonts w:ascii="Arial" w:hAnsi="Arial" w:cs="Arial"/>
        </w:rPr>
      </w:pPr>
    </w:p>
    <w:p w:rsidR="00B827C7" w:rsidRDefault="00B827C7" w:rsidP="00B827C7">
      <w:pPr>
        <w:numPr>
          <w:ilvl w:val="0"/>
          <w:numId w:val="1"/>
        </w:numPr>
        <w:jc w:val="both"/>
        <w:rPr>
          <w:b/>
          <w:szCs w:val="22"/>
        </w:rPr>
      </w:pPr>
      <w:r>
        <w:rPr>
          <w:b/>
          <w:szCs w:val="22"/>
        </w:rPr>
        <w:t>TREASURY POSITION AS AT 31 MARCH 2019</w:t>
      </w:r>
    </w:p>
    <w:p w:rsidR="00F5639B" w:rsidRPr="00847656" w:rsidRDefault="00F5639B" w:rsidP="00F5639B">
      <w:pPr>
        <w:jc w:val="both"/>
        <w:rPr>
          <w:b/>
          <w:szCs w:val="22"/>
        </w:rPr>
      </w:pPr>
    </w:p>
    <w:p w:rsidR="00B827C7" w:rsidRDefault="00B827C7" w:rsidP="00A5653A">
      <w:pPr>
        <w:pStyle w:val="NoSpacing"/>
      </w:pPr>
    </w:p>
    <w:p w:rsidR="00B827C7" w:rsidRPr="00A5653A" w:rsidRDefault="00A5653A" w:rsidP="00A5653A">
      <w:pPr>
        <w:pStyle w:val="NoSpacing"/>
        <w:numPr>
          <w:ilvl w:val="1"/>
          <w:numId w:val="1"/>
        </w:numPr>
        <w:ind w:left="567" w:hanging="567"/>
      </w:pPr>
      <w:r>
        <w:rPr>
          <w:rFonts w:cs="Arial"/>
        </w:rPr>
        <w:t>T</w:t>
      </w:r>
      <w:r w:rsidR="00B827C7">
        <w:rPr>
          <w:rFonts w:cs="Arial"/>
        </w:rPr>
        <w:t xml:space="preserve">he Council’s treasury management debt and investment position is organised to ensure adequate liquidity for revenue and capital activities, security for investments, and to manage risks within all treasury management activities. Gross debt is shown in Table 4, and </w:t>
      </w:r>
      <w:r w:rsidR="000742A6">
        <w:rPr>
          <w:rFonts w:cs="Arial"/>
        </w:rPr>
        <w:t>Investments (including Cash and Cash equivalents but excluding accrued interest) are shown in Table 6.</w:t>
      </w:r>
    </w:p>
    <w:p w:rsidR="00A5653A" w:rsidRPr="00A5653A" w:rsidRDefault="00A5653A" w:rsidP="00A5653A">
      <w:pPr>
        <w:pStyle w:val="NoSpacing"/>
        <w:ind w:left="567"/>
      </w:pPr>
    </w:p>
    <w:p w:rsidR="00A5653A" w:rsidRPr="000742A6" w:rsidRDefault="00A5653A" w:rsidP="00A5653A">
      <w:pPr>
        <w:pStyle w:val="NoSpacing"/>
        <w:ind w:left="567"/>
      </w:pPr>
      <w:r w:rsidRPr="00C05C56">
        <w:rPr>
          <w:noProof/>
        </w:rPr>
        <w:drawing>
          <wp:inline distT="0" distB="0" distL="0" distR="0" wp14:anchorId="3E0F5039" wp14:editId="6C857944">
            <wp:extent cx="4864735" cy="1675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4735" cy="1675130"/>
                    </a:xfrm>
                    <a:prstGeom prst="rect">
                      <a:avLst/>
                    </a:prstGeom>
                    <a:noFill/>
                    <a:ln>
                      <a:noFill/>
                    </a:ln>
                  </pic:spPr>
                </pic:pic>
              </a:graphicData>
            </a:graphic>
          </wp:inline>
        </w:drawing>
      </w:r>
    </w:p>
    <w:p w:rsidR="00C05C56" w:rsidRDefault="00C05C56" w:rsidP="000742A6">
      <w:pPr>
        <w:keepNext/>
        <w:jc w:val="both"/>
        <w:outlineLvl w:val="0"/>
        <w:rPr>
          <w:b/>
          <w:szCs w:val="22"/>
        </w:rPr>
      </w:pPr>
    </w:p>
    <w:p w:rsidR="00F5639B" w:rsidRPr="000742A6" w:rsidRDefault="00F5639B" w:rsidP="000742A6">
      <w:pPr>
        <w:keepNext/>
        <w:jc w:val="both"/>
        <w:outlineLvl w:val="0"/>
        <w:rPr>
          <w:b/>
          <w:szCs w:val="22"/>
        </w:rPr>
      </w:pPr>
    </w:p>
    <w:p w:rsidR="000742A6" w:rsidRDefault="000742A6" w:rsidP="00B827C7">
      <w:pPr>
        <w:keepNext/>
        <w:numPr>
          <w:ilvl w:val="1"/>
          <w:numId w:val="1"/>
        </w:numPr>
        <w:ind w:left="851" w:hanging="567"/>
        <w:jc w:val="both"/>
        <w:outlineLvl w:val="0"/>
        <w:rPr>
          <w:szCs w:val="22"/>
        </w:rPr>
      </w:pPr>
      <w:r w:rsidRPr="000742A6">
        <w:rPr>
          <w:szCs w:val="22"/>
        </w:rPr>
        <w:t xml:space="preserve">A detailed analysis </w:t>
      </w:r>
      <w:r>
        <w:rPr>
          <w:szCs w:val="22"/>
        </w:rPr>
        <w:t>of Short Term Investments and Cash and Cash Equivalents is presented as Appendix A. Term Deposits by counterparty are shown in Table 7.</w:t>
      </w:r>
    </w:p>
    <w:p w:rsidR="000742A6" w:rsidRDefault="000742A6" w:rsidP="000742A6">
      <w:pPr>
        <w:keepNext/>
        <w:ind w:left="851"/>
        <w:jc w:val="both"/>
        <w:outlineLvl w:val="0"/>
        <w:rPr>
          <w:szCs w:val="22"/>
        </w:rPr>
      </w:pPr>
    </w:p>
    <w:tbl>
      <w:tblPr>
        <w:tblW w:w="7400" w:type="dxa"/>
        <w:jc w:val="center"/>
        <w:tblLook w:val="04A0" w:firstRow="1" w:lastRow="0" w:firstColumn="1" w:lastColumn="0" w:noHBand="0" w:noVBand="1"/>
      </w:tblPr>
      <w:tblGrid>
        <w:gridCol w:w="4820"/>
        <w:gridCol w:w="730"/>
        <w:gridCol w:w="1180"/>
        <w:gridCol w:w="767"/>
      </w:tblGrid>
      <w:tr w:rsidR="000742A6" w:rsidRPr="000742A6" w:rsidTr="000742A6">
        <w:trPr>
          <w:trHeight w:val="900"/>
          <w:jc w:val="center"/>
        </w:trPr>
        <w:tc>
          <w:tcPr>
            <w:tcW w:w="4820" w:type="dxa"/>
            <w:vMerge w:val="restart"/>
            <w:tcBorders>
              <w:top w:val="single" w:sz="4" w:space="0" w:color="auto"/>
              <w:left w:val="single" w:sz="4" w:space="0" w:color="auto"/>
              <w:bottom w:val="single" w:sz="4" w:space="0" w:color="000000"/>
              <w:right w:val="nil"/>
            </w:tcBorders>
            <w:shd w:val="clear" w:color="000000" w:fill="BFBFBF"/>
            <w:vAlign w:val="center"/>
            <w:hideMark/>
          </w:tcPr>
          <w:p w:rsidR="000742A6" w:rsidRPr="000742A6" w:rsidRDefault="000742A6" w:rsidP="000742A6">
            <w:pPr>
              <w:rPr>
                <w:rFonts w:cs="Arial"/>
                <w:b/>
                <w:bCs/>
                <w:color w:val="000000"/>
                <w:szCs w:val="22"/>
              </w:rPr>
            </w:pPr>
            <w:r w:rsidRPr="000742A6">
              <w:rPr>
                <w:rFonts w:cs="Arial"/>
                <w:b/>
                <w:bCs/>
                <w:color w:val="000000"/>
                <w:szCs w:val="22"/>
              </w:rPr>
              <w:t>Table 7 - Summary of Term Deposits by Counterparty 31 March 2019</w:t>
            </w:r>
          </w:p>
        </w:tc>
        <w:tc>
          <w:tcPr>
            <w:tcW w:w="640" w:type="dxa"/>
            <w:tcBorders>
              <w:top w:val="single" w:sz="4" w:space="0" w:color="auto"/>
              <w:left w:val="nil"/>
              <w:bottom w:val="nil"/>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Type</w:t>
            </w:r>
          </w:p>
        </w:tc>
        <w:tc>
          <w:tcPr>
            <w:tcW w:w="1180" w:type="dxa"/>
            <w:tcBorders>
              <w:top w:val="single" w:sz="4" w:space="0" w:color="auto"/>
              <w:left w:val="nil"/>
              <w:bottom w:val="nil"/>
              <w:right w:val="nil"/>
            </w:tcBorders>
            <w:shd w:val="clear" w:color="000000" w:fill="BFBFBF"/>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Amount 31 March 2019</w:t>
            </w:r>
          </w:p>
        </w:tc>
        <w:tc>
          <w:tcPr>
            <w:tcW w:w="760" w:type="dxa"/>
            <w:tcBorders>
              <w:top w:val="single" w:sz="4" w:space="0" w:color="auto"/>
              <w:left w:val="nil"/>
              <w:bottom w:val="nil"/>
              <w:right w:val="single" w:sz="4" w:space="0" w:color="auto"/>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Limit</w:t>
            </w:r>
          </w:p>
        </w:tc>
      </w:tr>
      <w:tr w:rsidR="000742A6" w:rsidRPr="000742A6" w:rsidTr="000742A6">
        <w:trPr>
          <w:trHeight w:val="300"/>
          <w:jc w:val="center"/>
        </w:trPr>
        <w:tc>
          <w:tcPr>
            <w:tcW w:w="4820" w:type="dxa"/>
            <w:vMerge/>
            <w:tcBorders>
              <w:top w:val="single" w:sz="4" w:space="0" w:color="auto"/>
              <w:left w:val="single" w:sz="4" w:space="0" w:color="auto"/>
              <w:bottom w:val="single" w:sz="4" w:space="0" w:color="000000"/>
              <w:right w:val="nil"/>
            </w:tcBorders>
            <w:vAlign w:val="center"/>
            <w:hideMark/>
          </w:tcPr>
          <w:p w:rsidR="000742A6" w:rsidRPr="000742A6" w:rsidRDefault="000742A6" w:rsidP="000742A6">
            <w:pPr>
              <w:rPr>
                <w:rFonts w:cs="Arial"/>
                <w:b/>
                <w:bCs/>
                <w:color w:val="000000"/>
                <w:szCs w:val="22"/>
              </w:rPr>
            </w:pPr>
          </w:p>
        </w:tc>
        <w:tc>
          <w:tcPr>
            <w:tcW w:w="640" w:type="dxa"/>
            <w:tcBorders>
              <w:top w:val="nil"/>
              <w:left w:val="nil"/>
              <w:bottom w:val="single" w:sz="4" w:space="0" w:color="auto"/>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 </w:t>
            </w:r>
          </w:p>
        </w:tc>
        <w:tc>
          <w:tcPr>
            <w:tcW w:w="1180" w:type="dxa"/>
            <w:tcBorders>
              <w:top w:val="nil"/>
              <w:left w:val="nil"/>
              <w:bottom w:val="single" w:sz="4" w:space="0" w:color="auto"/>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£000</w:t>
            </w:r>
          </w:p>
        </w:tc>
        <w:tc>
          <w:tcPr>
            <w:tcW w:w="760" w:type="dxa"/>
            <w:tcBorders>
              <w:top w:val="nil"/>
              <w:left w:val="nil"/>
              <w:bottom w:val="single" w:sz="4" w:space="0" w:color="auto"/>
              <w:right w:val="single" w:sz="4" w:space="0" w:color="auto"/>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Bank of Scotland</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2,000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Goldman Sachs International Bank</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4,000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UK Banks</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single" w:sz="4" w:space="0" w:color="auto"/>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Conwy County Borough Council</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2,000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Hull City Council</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2,000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Lancashire County Council</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Salford City Council</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2,000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Slough Borough Council</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2,000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485652" w:rsidP="000742A6">
            <w:pPr>
              <w:rPr>
                <w:rFonts w:cs="Arial"/>
                <w:color w:val="000000"/>
                <w:szCs w:val="22"/>
              </w:rPr>
            </w:pPr>
            <w:r w:rsidRPr="000742A6">
              <w:rPr>
                <w:rFonts w:cs="Arial"/>
                <w:color w:val="000000"/>
                <w:szCs w:val="22"/>
              </w:rPr>
              <w:t>Thurrock</w:t>
            </w:r>
            <w:r w:rsidR="000742A6" w:rsidRPr="000742A6">
              <w:rPr>
                <w:rFonts w:cs="Arial"/>
                <w:color w:val="000000"/>
                <w:szCs w:val="22"/>
              </w:rPr>
              <w:t xml:space="preserve"> Borough Council</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Term</w:t>
            </w:r>
          </w:p>
        </w:tc>
        <w:tc>
          <w:tcPr>
            <w:tcW w:w="11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2,000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6,000</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UK Local Authorities</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single" w:sz="4" w:space="0" w:color="auto"/>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16,000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300"/>
          <w:jc w:val="center"/>
        </w:trPr>
        <w:tc>
          <w:tcPr>
            <w:tcW w:w="4820" w:type="dxa"/>
            <w:tcBorders>
              <w:top w:val="nil"/>
              <w:left w:val="single" w:sz="4" w:space="0" w:color="auto"/>
              <w:bottom w:val="nil"/>
              <w:right w:val="nil"/>
            </w:tcBorders>
            <w:shd w:val="clear" w:color="auto" w:fill="auto"/>
            <w:noWrap/>
            <w:vAlign w:val="bottom"/>
            <w:hideMark/>
          </w:tcPr>
          <w:p w:rsidR="000742A6" w:rsidRPr="000742A6" w:rsidRDefault="000742A6" w:rsidP="000742A6">
            <w:pPr>
              <w:rPr>
                <w:rFonts w:cs="Arial"/>
                <w:b/>
                <w:bCs/>
                <w:color w:val="000000"/>
                <w:szCs w:val="22"/>
              </w:rPr>
            </w:pPr>
            <w:r w:rsidRPr="000742A6">
              <w:rPr>
                <w:rFonts w:cs="Arial"/>
                <w:b/>
                <w:bCs/>
                <w:color w:val="000000"/>
                <w:szCs w:val="22"/>
              </w:rPr>
              <w:t>Fixed Term Deposits sub total</w:t>
            </w:r>
          </w:p>
        </w:tc>
        <w:tc>
          <w:tcPr>
            <w:tcW w:w="640" w:type="dxa"/>
            <w:tcBorders>
              <w:top w:val="nil"/>
              <w:left w:val="nil"/>
              <w:bottom w:val="nil"/>
              <w:right w:val="nil"/>
            </w:tcBorders>
            <w:shd w:val="clear" w:color="auto" w:fill="auto"/>
            <w:noWrap/>
            <w:vAlign w:val="bottom"/>
            <w:hideMark/>
          </w:tcPr>
          <w:p w:rsidR="000742A6" w:rsidRPr="000742A6" w:rsidRDefault="000742A6" w:rsidP="000742A6">
            <w:pPr>
              <w:jc w:val="center"/>
              <w:rPr>
                <w:rFonts w:cs="Arial"/>
                <w:color w:val="000000"/>
                <w:szCs w:val="22"/>
              </w:rPr>
            </w:pPr>
          </w:p>
        </w:tc>
        <w:tc>
          <w:tcPr>
            <w:tcW w:w="1180" w:type="dxa"/>
            <w:tcBorders>
              <w:top w:val="single" w:sz="4" w:space="0" w:color="auto"/>
              <w:left w:val="nil"/>
              <w:bottom w:val="single" w:sz="4" w:space="0" w:color="auto"/>
              <w:right w:val="nil"/>
            </w:tcBorders>
            <w:shd w:val="clear" w:color="auto" w:fill="auto"/>
            <w:noWrap/>
            <w:vAlign w:val="bottom"/>
            <w:hideMark/>
          </w:tcPr>
          <w:p w:rsidR="000742A6" w:rsidRPr="000742A6" w:rsidRDefault="000742A6" w:rsidP="000742A6">
            <w:pPr>
              <w:jc w:val="right"/>
              <w:rPr>
                <w:rFonts w:cs="Arial"/>
                <w:b/>
                <w:bCs/>
                <w:color w:val="000000"/>
                <w:szCs w:val="22"/>
              </w:rPr>
            </w:pPr>
            <w:r w:rsidRPr="000742A6">
              <w:rPr>
                <w:rFonts w:cs="Arial"/>
                <w:b/>
                <w:bCs/>
                <w:color w:val="000000"/>
                <w:szCs w:val="22"/>
              </w:rPr>
              <w:t>22,000</w:t>
            </w:r>
          </w:p>
        </w:tc>
        <w:tc>
          <w:tcPr>
            <w:tcW w:w="76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4820" w:type="dxa"/>
            <w:tcBorders>
              <w:top w:val="nil"/>
              <w:left w:val="single" w:sz="4" w:space="0" w:color="auto"/>
              <w:bottom w:val="single" w:sz="4" w:space="0" w:color="auto"/>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640" w:type="dxa"/>
            <w:tcBorders>
              <w:top w:val="nil"/>
              <w:left w:val="nil"/>
              <w:bottom w:val="single" w:sz="4" w:space="0" w:color="auto"/>
              <w:right w:val="nil"/>
            </w:tcBorders>
            <w:shd w:val="clear" w:color="auto" w:fill="auto"/>
            <w:noWrap/>
            <w:vAlign w:val="bottom"/>
            <w:hideMark/>
          </w:tcPr>
          <w:p w:rsidR="000742A6" w:rsidRPr="000742A6" w:rsidRDefault="000742A6" w:rsidP="000742A6">
            <w:pPr>
              <w:jc w:val="center"/>
              <w:rPr>
                <w:rFonts w:cs="Arial"/>
                <w:color w:val="000000"/>
                <w:szCs w:val="22"/>
              </w:rPr>
            </w:pPr>
            <w:r w:rsidRPr="000742A6">
              <w:rPr>
                <w:rFonts w:cs="Arial"/>
                <w:color w:val="000000"/>
                <w:szCs w:val="22"/>
              </w:rPr>
              <w:t> </w:t>
            </w:r>
          </w:p>
        </w:tc>
        <w:tc>
          <w:tcPr>
            <w:tcW w:w="1180" w:type="dxa"/>
            <w:tcBorders>
              <w:top w:val="nil"/>
              <w:left w:val="nil"/>
              <w:bottom w:val="single" w:sz="4" w:space="0" w:color="auto"/>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bl>
    <w:p w:rsidR="000742A6" w:rsidRDefault="000742A6" w:rsidP="00B827C7">
      <w:pPr>
        <w:keepNext/>
        <w:numPr>
          <w:ilvl w:val="1"/>
          <w:numId w:val="1"/>
        </w:numPr>
        <w:ind w:left="851" w:hanging="567"/>
        <w:jc w:val="both"/>
        <w:outlineLvl w:val="0"/>
        <w:rPr>
          <w:szCs w:val="22"/>
        </w:rPr>
      </w:pPr>
      <w:r>
        <w:rPr>
          <w:szCs w:val="22"/>
        </w:rPr>
        <w:t xml:space="preserve">The table confirms that the maximum </w:t>
      </w:r>
      <w:r w:rsidR="00116285">
        <w:rPr>
          <w:szCs w:val="22"/>
        </w:rPr>
        <w:t xml:space="preserve">balance </w:t>
      </w:r>
      <w:r>
        <w:rPr>
          <w:szCs w:val="22"/>
        </w:rPr>
        <w:t>invested with each counterparty complied with the limit approved by Council. Appendix B presents the approved limits for 2018/19.</w:t>
      </w:r>
    </w:p>
    <w:p w:rsidR="000742A6" w:rsidRDefault="000742A6" w:rsidP="000742A6">
      <w:pPr>
        <w:keepNext/>
        <w:ind w:left="851"/>
        <w:jc w:val="both"/>
        <w:outlineLvl w:val="0"/>
        <w:rPr>
          <w:szCs w:val="22"/>
        </w:rPr>
      </w:pPr>
    </w:p>
    <w:p w:rsidR="000742A6" w:rsidRDefault="000742A6" w:rsidP="00B827C7">
      <w:pPr>
        <w:keepNext/>
        <w:numPr>
          <w:ilvl w:val="1"/>
          <w:numId w:val="1"/>
        </w:numPr>
        <w:ind w:left="851" w:hanging="567"/>
        <w:jc w:val="both"/>
        <w:outlineLvl w:val="0"/>
        <w:rPr>
          <w:szCs w:val="22"/>
        </w:rPr>
      </w:pPr>
      <w:r>
        <w:rPr>
          <w:szCs w:val="22"/>
        </w:rPr>
        <w:t>Council approved a maximum of £5m should be invested with UK local authorities for more than 365 days and up to two years. No sums were invested for more than 365 days.</w:t>
      </w:r>
    </w:p>
    <w:p w:rsidR="00B827C7" w:rsidRDefault="00B827C7" w:rsidP="00B827C7">
      <w:pPr>
        <w:keepNext/>
        <w:jc w:val="both"/>
        <w:outlineLvl w:val="0"/>
        <w:rPr>
          <w:szCs w:val="22"/>
        </w:rPr>
      </w:pPr>
    </w:p>
    <w:tbl>
      <w:tblPr>
        <w:tblW w:w="7060" w:type="dxa"/>
        <w:jc w:val="center"/>
        <w:tblLook w:val="04A0" w:firstRow="1" w:lastRow="0" w:firstColumn="1" w:lastColumn="0" w:noHBand="0" w:noVBand="1"/>
      </w:tblPr>
      <w:tblGrid>
        <w:gridCol w:w="3820"/>
        <w:gridCol w:w="1134"/>
        <w:gridCol w:w="1080"/>
        <w:gridCol w:w="1080"/>
      </w:tblGrid>
      <w:tr w:rsidR="000742A6" w:rsidRPr="000742A6" w:rsidTr="000742A6">
        <w:trPr>
          <w:trHeight w:val="300"/>
          <w:jc w:val="center"/>
        </w:trPr>
        <w:tc>
          <w:tcPr>
            <w:tcW w:w="3820" w:type="dxa"/>
            <w:vMerge w:val="restart"/>
            <w:tcBorders>
              <w:top w:val="single" w:sz="4" w:space="0" w:color="auto"/>
              <w:left w:val="single" w:sz="4" w:space="0" w:color="auto"/>
              <w:bottom w:val="nil"/>
              <w:right w:val="single" w:sz="4" w:space="0" w:color="auto"/>
            </w:tcBorders>
            <w:shd w:val="clear" w:color="000000" w:fill="BFBFBF"/>
            <w:vAlign w:val="bottom"/>
            <w:hideMark/>
          </w:tcPr>
          <w:p w:rsidR="000742A6" w:rsidRPr="000742A6" w:rsidRDefault="000742A6" w:rsidP="000742A6">
            <w:pPr>
              <w:rPr>
                <w:rFonts w:cs="Arial"/>
                <w:b/>
                <w:bCs/>
                <w:color w:val="000000"/>
                <w:szCs w:val="22"/>
              </w:rPr>
            </w:pPr>
            <w:r w:rsidRPr="000742A6">
              <w:rPr>
                <w:rFonts w:cs="Arial"/>
                <w:b/>
                <w:bCs/>
                <w:color w:val="000000"/>
                <w:szCs w:val="22"/>
              </w:rPr>
              <w:t>Table 8 - Maximum Principal Sums Invested &gt; 365 Days 2018/19</w:t>
            </w:r>
          </w:p>
        </w:tc>
        <w:tc>
          <w:tcPr>
            <w:tcW w:w="1080" w:type="dxa"/>
            <w:tcBorders>
              <w:top w:val="single" w:sz="4" w:space="0" w:color="auto"/>
              <w:left w:val="nil"/>
              <w:bottom w:val="nil"/>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2018/19</w:t>
            </w:r>
          </w:p>
        </w:tc>
        <w:tc>
          <w:tcPr>
            <w:tcW w:w="1080" w:type="dxa"/>
            <w:tcBorders>
              <w:top w:val="single" w:sz="4" w:space="0" w:color="auto"/>
              <w:left w:val="nil"/>
              <w:bottom w:val="nil"/>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2018/19</w:t>
            </w:r>
          </w:p>
        </w:tc>
        <w:tc>
          <w:tcPr>
            <w:tcW w:w="1080" w:type="dxa"/>
            <w:tcBorders>
              <w:top w:val="single" w:sz="4" w:space="0" w:color="auto"/>
              <w:left w:val="nil"/>
              <w:bottom w:val="nil"/>
              <w:right w:val="single" w:sz="4" w:space="0" w:color="auto"/>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2018/19</w:t>
            </w:r>
          </w:p>
        </w:tc>
      </w:tr>
      <w:tr w:rsidR="000742A6" w:rsidRPr="000742A6" w:rsidTr="000742A6">
        <w:trPr>
          <w:trHeight w:val="300"/>
          <w:jc w:val="center"/>
        </w:trPr>
        <w:tc>
          <w:tcPr>
            <w:tcW w:w="3820" w:type="dxa"/>
            <w:vMerge/>
            <w:tcBorders>
              <w:top w:val="single" w:sz="4" w:space="0" w:color="auto"/>
              <w:left w:val="single" w:sz="4" w:space="0" w:color="auto"/>
              <w:bottom w:val="nil"/>
              <w:right w:val="single" w:sz="4" w:space="0" w:color="auto"/>
            </w:tcBorders>
            <w:vAlign w:val="center"/>
            <w:hideMark/>
          </w:tcPr>
          <w:p w:rsidR="000742A6" w:rsidRPr="000742A6" w:rsidRDefault="000742A6" w:rsidP="000742A6">
            <w:pPr>
              <w:rPr>
                <w:rFonts w:cs="Arial"/>
                <w:b/>
                <w:bCs/>
                <w:color w:val="000000"/>
                <w:szCs w:val="22"/>
              </w:rPr>
            </w:pPr>
          </w:p>
        </w:tc>
        <w:tc>
          <w:tcPr>
            <w:tcW w:w="1080" w:type="dxa"/>
            <w:tcBorders>
              <w:top w:val="nil"/>
              <w:left w:val="nil"/>
              <w:bottom w:val="nil"/>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Estimate</w:t>
            </w:r>
          </w:p>
        </w:tc>
        <w:tc>
          <w:tcPr>
            <w:tcW w:w="1080" w:type="dxa"/>
            <w:tcBorders>
              <w:top w:val="nil"/>
              <w:left w:val="nil"/>
              <w:bottom w:val="nil"/>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Revised</w:t>
            </w:r>
          </w:p>
        </w:tc>
        <w:tc>
          <w:tcPr>
            <w:tcW w:w="1080" w:type="dxa"/>
            <w:tcBorders>
              <w:top w:val="nil"/>
              <w:left w:val="nil"/>
              <w:bottom w:val="nil"/>
              <w:right w:val="single" w:sz="4" w:space="0" w:color="auto"/>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Actual</w:t>
            </w:r>
          </w:p>
        </w:tc>
      </w:tr>
      <w:tr w:rsidR="000742A6" w:rsidRPr="000742A6" w:rsidTr="000742A6">
        <w:trPr>
          <w:trHeight w:val="300"/>
          <w:jc w:val="center"/>
        </w:trPr>
        <w:tc>
          <w:tcPr>
            <w:tcW w:w="3820" w:type="dxa"/>
            <w:tcBorders>
              <w:top w:val="nil"/>
              <w:left w:val="single" w:sz="4" w:space="0" w:color="auto"/>
              <w:bottom w:val="single" w:sz="4" w:space="0" w:color="auto"/>
              <w:right w:val="single" w:sz="4" w:space="0" w:color="auto"/>
            </w:tcBorders>
            <w:shd w:val="clear" w:color="000000" w:fill="BFBFBF"/>
            <w:vAlign w:val="bottom"/>
            <w:hideMark/>
          </w:tcPr>
          <w:p w:rsidR="000742A6" w:rsidRPr="000742A6" w:rsidRDefault="000742A6" w:rsidP="000742A6">
            <w:pPr>
              <w:rPr>
                <w:rFonts w:cs="Arial"/>
                <w:b/>
                <w:bCs/>
                <w:color w:val="000000"/>
                <w:szCs w:val="22"/>
              </w:rPr>
            </w:pPr>
            <w:r w:rsidRPr="000742A6">
              <w:rPr>
                <w:rFonts w:cs="Arial"/>
                <w:b/>
                <w:bCs/>
                <w:color w:val="000000"/>
                <w:szCs w:val="22"/>
              </w:rPr>
              <w:t> </w:t>
            </w:r>
          </w:p>
        </w:tc>
        <w:tc>
          <w:tcPr>
            <w:tcW w:w="1080" w:type="dxa"/>
            <w:tcBorders>
              <w:top w:val="nil"/>
              <w:left w:val="nil"/>
              <w:bottom w:val="single" w:sz="4" w:space="0" w:color="auto"/>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£000</w:t>
            </w:r>
          </w:p>
        </w:tc>
        <w:tc>
          <w:tcPr>
            <w:tcW w:w="1080" w:type="dxa"/>
            <w:tcBorders>
              <w:top w:val="nil"/>
              <w:left w:val="nil"/>
              <w:bottom w:val="single" w:sz="4" w:space="0" w:color="auto"/>
              <w:right w:val="single" w:sz="4" w:space="0" w:color="auto"/>
            </w:tcBorders>
            <w:shd w:val="clear" w:color="000000" w:fill="BFBFBF"/>
            <w:noWrap/>
            <w:vAlign w:val="bottom"/>
            <w:hideMark/>
          </w:tcPr>
          <w:p w:rsidR="000742A6" w:rsidRPr="000742A6" w:rsidRDefault="000742A6" w:rsidP="000742A6">
            <w:pPr>
              <w:jc w:val="center"/>
              <w:rPr>
                <w:rFonts w:cs="Arial"/>
                <w:b/>
                <w:bCs/>
                <w:color w:val="000000"/>
                <w:szCs w:val="22"/>
              </w:rPr>
            </w:pPr>
            <w:r w:rsidRPr="000742A6">
              <w:rPr>
                <w:rFonts w:cs="Arial"/>
                <w:b/>
                <w:bCs/>
                <w:color w:val="000000"/>
                <w:szCs w:val="22"/>
              </w:rPr>
              <w:t>£000</w:t>
            </w:r>
          </w:p>
        </w:tc>
      </w:tr>
      <w:tr w:rsidR="000742A6" w:rsidRPr="000742A6" w:rsidTr="000742A6">
        <w:trPr>
          <w:trHeight w:val="285"/>
          <w:jc w:val="center"/>
        </w:trPr>
        <w:tc>
          <w:tcPr>
            <w:tcW w:w="3820" w:type="dxa"/>
            <w:tcBorders>
              <w:top w:val="nil"/>
              <w:left w:val="single" w:sz="4" w:space="0" w:color="auto"/>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285"/>
          <w:jc w:val="center"/>
        </w:trPr>
        <w:tc>
          <w:tcPr>
            <w:tcW w:w="3820" w:type="dxa"/>
            <w:tcBorders>
              <w:top w:val="nil"/>
              <w:left w:val="single" w:sz="4" w:space="0" w:color="auto"/>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UK Government</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c>
          <w:tcPr>
            <w:tcW w:w="108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r>
      <w:tr w:rsidR="000742A6" w:rsidRPr="000742A6" w:rsidTr="000742A6">
        <w:trPr>
          <w:trHeight w:val="285"/>
          <w:jc w:val="center"/>
        </w:trPr>
        <w:tc>
          <w:tcPr>
            <w:tcW w:w="3820" w:type="dxa"/>
            <w:tcBorders>
              <w:top w:val="nil"/>
              <w:left w:val="single" w:sz="4" w:space="0" w:color="auto"/>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UK Local Authorities</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5,000</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5,000</w:t>
            </w:r>
          </w:p>
        </w:tc>
        <w:tc>
          <w:tcPr>
            <w:tcW w:w="108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r>
      <w:tr w:rsidR="000742A6" w:rsidRPr="000742A6" w:rsidTr="000742A6">
        <w:trPr>
          <w:trHeight w:val="285"/>
          <w:jc w:val="center"/>
        </w:trPr>
        <w:tc>
          <w:tcPr>
            <w:tcW w:w="3820" w:type="dxa"/>
            <w:tcBorders>
              <w:top w:val="nil"/>
              <w:left w:val="single" w:sz="4" w:space="0" w:color="auto"/>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UK Banks &amp; Building Societies</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c>
          <w:tcPr>
            <w:tcW w:w="108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r>
      <w:tr w:rsidR="000742A6" w:rsidRPr="000742A6" w:rsidTr="000742A6">
        <w:trPr>
          <w:trHeight w:val="285"/>
          <w:jc w:val="center"/>
        </w:trPr>
        <w:tc>
          <w:tcPr>
            <w:tcW w:w="3820" w:type="dxa"/>
            <w:tcBorders>
              <w:top w:val="nil"/>
              <w:left w:val="single" w:sz="4" w:space="0" w:color="auto"/>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Non-UK Banks</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c>
          <w:tcPr>
            <w:tcW w:w="1080" w:type="dxa"/>
            <w:tcBorders>
              <w:top w:val="nil"/>
              <w:left w:val="nil"/>
              <w:bottom w:val="nil"/>
              <w:right w:val="single" w:sz="4" w:space="0" w:color="auto"/>
            </w:tcBorders>
            <w:shd w:val="clear" w:color="auto" w:fill="auto"/>
            <w:noWrap/>
            <w:vAlign w:val="bottom"/>
            <w:hideMark/>
          </w:tcPr>
          <w:p w:rsidR="000742A6" w:rsidRPr="000742A6" w:rsidRDefault="000742A6" w:rsidP="000742A6">
            <w:pPr>
              <w:jc w:val="right"/>
              <w:rPr>
                <w:rFonts w:cs="Arial"/>
                <w:color w:val="000000"/>
                <w:szCs w:val="22"/>
              </w:rPr>
            </w:pPr>
            <w:r w:rsidRPr="000742A6">
              <w:rPr>
                <w:rFonts w:cs="Arial"/>
                <w:color w:val="000000"/>
                <w:szCs w:val="22"/>
              </w:rPr>
              <w:t>0</w:t>
            </w:r>
          </w:p>
        </w:tc>
      </w:tr>
      <w:tr w:rsidR="000742A6" w:rsidRPr="000742A6" w:rsidTr="000742A6">
        <w:trPr>
          <w:trHeight w:val="285"/>
          <w:jc w:val="center"/>
        </w:trPr>
        <w:tc>
          <w:tcPr>
            <w:tcW w:w="3820" w:type="dxa"/>
            <w:tcBorders>
              <w:top w:val="nil"/>
              <w:left w:val="single" w:sz="4" w:space="0" w:color="auto"/>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c>
          <w:tcPr>
            <w:tcW w:w="1080" w:type="dxa"/>
            <w:tcBorders>
              <w:top w:val="nil"/>
              <w:left w:val="nil"/>
              <w:bottom w:val="nil"/>
              <w:right w:val="nil"/>
            </w:tcBorders>
            <w:shd w:val="clear" w:color="auto" w:fill="auto"/>
            <w:noWrap/>
            <w:vAlign w:val="bottom"/>
            <w:hideMark/>
          </w:tcPr>
          <w:p w:rsidR="000742A6" w:rsidRPr="000742A6" w:rsidRDefault="000742A6" w:rsidP="000742A6">
            <w:pPr>
              <w:rPr>
                <w:rFonts w:cs="Arial"/>
                <w:color w:val="000000"/>
                <w:szCs w:val="22"/>
              </w:rPr>
            </w:pPr>
          </w:p>
        </w:tc>
        <w:tc>
          <w:tcPr>
            <w:tcW w:w="1080" w:type="dxa"/>
            <w:tcBorders>
              <w:top w:val="nil"/>
              <w:left w:val="nil"/>
              <w:bottom w:val="nil"/>
              <w:right w:val="single" w:sz="4" w:space="0" w:color="auto"/>
            </w:tcBorders>
            <w:shd w:val="clear" w:color="auto" w:fill="auto"/>
            <w:noWrap/>
            <w:vAlign w:val="bottom"/>
            <w:hideMark/>
          </w:tcPr>
          <w:p w:rsidR="000742A6" w:rsidRPr="000742A6" w:rsidRDefault="000742A6" w:rsidP="000742A6">
            <w:pPr>
              <w:rPr>
                <w:rFonts w:cs="Arial"/>
                <w:color w:val="000000"/>
                <w:szCs w:val="22"/>
              </w:rPr>
            </w:pPr>
            <w:r w:rsidRPr="000742A6">
              <w:rPr>
                <w:rFonts w:cs="Arial"/>
                <w:color w:val="000000"/>
                <w:szCs w:val="22"/>
              </w:rPr>
              <w:t> </w:t>
            </w:r>
          </w:p>
        </w:tc>
      </w:tr>
      <w:tr w:rsidR="000742A6" w:rsidRPr="000742A6" w:rsidTr="000742A6">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0742A6" w:rsidRPr="000742A6" w:rsidRDefault="000742A6" w:rsidP="000742A6">
            <w:pPr>
              <w:rPr>
                <w:rFonts w:cs="Arial"/>
                <w:b/>
                <w:bCs/>
                <w:color w:val="000000"/>
                <w:szCs w:val="22"/>
              </w:rPr>
            </w:pPr>
            <w:r w:rsidRPr="000742A6">
              <w:rPr>
                <w:rFonts w:cs="Arial"/>
                <w:b/>
                <w:bCs/>
                <w:color w:val="000000"/>
                <w:szCs w:val="22"/>
              </w:rPr>
              <w:t>Total</w:t>
            </w:r>
          </w:p>
        </w:tc>
        <w:tc>
          <w:tcPr>
            <w:tcW w:w="1080" w:type="dxa"/>
            <w:tcBorders>
              <w:top w:val="single" w:sz="4" w:space="0" w:color="auto"/>
              <w:left w:val="nil"/>
              <w:bottom w:val="single" w:sz="4" w:space="0" w:color="auto"/>
              <w:right w:val="nil"/>
            </w:tcBorders>
            <w:shd w:val="clear" w:color="auto" w:fill="auto"/>
            <w:noWrap/>
            <w:vAlign w:val="bottom"/>
            <w:hideMark/>
          </w:tcPr>
          <w:p w:rsidR="000742A6" w:rsidRPr="000742A6" w:rsidRDefault="000742A6" w:rsidP="000742A6">
            <w:pPr>
              <w:jc w:val="right"/>
              <w:rPr>
                <w:rFonts w:cs="Arial"/>
                <w:b/>
                <w:bCs/>
                <w:color w:val="000000"/>
                <w:szCs w:val="22"/>
              </w:rPr>
            </w:pPr>
            <w:r w:rsidRPr="000742A6">
              <w:rPr>
                <w:rFonts w:cs="Arial"/>
                <w:b/>
                <w:bCs/>
                <w:color w:val="000000"/>
                <w:szCs w:val="22"/>
              </w:rPr>
              <w:t>5,000</w:t>
            </w:r>
          </w:p>
        </w:tc>
        <w:tc>
          <w:tcPr>
            <w:tcW w:w="1080" w:type="dxa"/>
            <w:tcBorders>
              <w:top w:val="single" w:sz="4" w:space="0" w:color="auto"/>
              <w:left w:val="nil"/>
              <w:bottom w:val="single" w:sz="4" w:space="0" w:color="auto"/>
              <w:right w:val="nil"/>
            </w:tcBorders>
            <w:shd w:val="clear" w:color="auto" w:fill="auto"/>
            <w:noWrap/>
            <w:vAlign w:val="bottom"/>
            <w:hideMark/>
          </w:tcPr>
          <w:p w:rsidR="000742A6" w:rsidRPr="000742A6" w:rsidRDefault="000742A6" w:rsidP="000742A6">
            <w:pPr>
              <w:jc w:val="right"/>
              <w:rPr>
                <w:rFonts w:cs="Arial"/>
                <w:b/>
                <w:bCs/>
                <w:color w:val="000000"/>
                <w:szCs w:val="22"/>
              </w:rPr>
            </w:pPr>
            <w:r w:rsidRPr="000742A6">
              <w:rPr>
                <w:rFonts w:cs="Arial"/>
                <w:b/>
                <w:bCs/>
                <w:color w:val="000000"/>
                <w:szCs w:val="22"/>
              </w:rPr>
              <w:t>5,000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742A6" w:rsidRPr="000742A6" w:rsidRDefault="000742A6" w:rsidP="000742A6">
            <w:pPr>
              <w:jc w:val="right"/>
              <w:rPr>
                <w:rFonts w:cs="Arial"/>
                <w:b/>
                <w:bCs/>
                <w:color w:val="000000"/>
                <w:szCs w:val="22"/>
              </w:rPr>
            </w:pPr>
            <w:r w:rsidRPr="000742A6">
              <w:rPr>
                <w:rFonts w:cs="Arial"/>
                <w:b/>
                <w:bCs/>
                <w:color w:val="000000"/>
                <w:szCs w:val="22"/>
              </w:rPr>
              <w:t>0</w:t>
            </w:r>
          </w:p>
        </w:tc>
      </w:tr>
    </w:tbl>
    <w:p w:rsidR="000742A6" w:rsidRDefault="000742A6" w:rsidP="00B827C7">
      <w:pPr>
        <w:keepNext/>
        <w:jc w:val="both"/>
        <w:outlineLvl w:val="0"/>
        <w:rPr>
          <w:szCs w:val="22"/>
        </w:rPr>
      </w:pPr>
    </w:p>
    <w:p w:rsidR="00B9127D" w:rsidRPr="00B9127D" w:rsidRDefault="00B9127D" w:rsidP="00B9127D">
      <w:pPr>
        <w:ind w:left="360"/>
        <w:jc w:val="both"/>
        <w:rPr>
          <w:b/>
          <w:szCs w:val="22"/>
        </w:rPr>
      </w:pPr>
    </w:p>
    <w:p w:rsidR="00B9127D" w:rsidRPr="00847656" w:rsidRDefault="00B9127D" w:rsidP="00B9127D">
      <w:pPr>
        <w:numPr>
          <w:ilvl w:val="0"/>
          <w:numId w:val="1"/>
        </w:numPr>
        <w:jc w:val="both"/>
        <w:rPr>
          <w:b/>
          <w:szCs w:val="22"/>
        </w:rPr>
      </w:pPr>
      <w:r>
        <w:rPr>
          <w:b/>
          <w:szCs w:val="22"/>
        </w:rPr>
        <w:t>INVESTMENT PERFORMANCE 2018/19</w:t>
      </w:r>
    </w:p>
    <w:p w:rsidR="00B9127D" w:rsidRPr="00847656" w:rsidRDefault="00B9127D" w:rsidP="00B9127D">
      <w:pPr>
        <w:ind w:left="360"/>
        <w:jc w:val="both"/>
        <w:rPr>
          <w:b/>
          <w:szCs w:val="22"/>
        </w:rPr>
      </w:pPr>
    </w:p>
    <w:p w:rsidR="00B9127D" w:rsidRPr="00B46571" w:rsidRDefault="00B46571" w:rsidP="00B9127D">
      <w:pPr>
        <w:keepNext/>
        <w:numPr>
          <w:ilvl w:val="1"/>
          <w:numId w:val="1"/>
        </w:numPr>
        <w:ind w:left="851" w:hanging="567"/>
        <w:jc w:val="both"/>
        <w:outlineLvl w:val="0"/>
        <w:rPr>
          <w:b/>
          <w:szCs w:val="22"/>
        </w:rPr>
      </w:pPr>
      <w:r>
        <w:rPr>
          <w:rFonts w:cs="Arial"/>
          <w:szCs w:val="22"/>
        </w:rPr>
        <w:t>Investment returns remained low during 2018/19. When the treasury management strategy for 2018/19 was approved, the expectation was that Bank Rate would rise from 0.50% to 0.75%. At the start of 2018/19, and after UK GDP growth had proved disappointingly weak in the first few months of 2018, the expectation for the timing of this increase was pushed back from May to August 2018. Investment interest rates were therefore on a gently rising trend in the first half of the year after April, in the anticipation that the MPC would raise Bank Rate in August. This duly happened at the MPC meeting on 2 August 2018. During this period, investments were kept in highly liquid accounts in anticipation that rates would be higher later in the year, when placing cash in term deposits would become more attractive.</w:t>
      </w:r>
    </w:p>
    <w:p w:rsidR="00B46571" w:rsidRPr="00B46571" w:rsidRDefault="00B46571" w:rsidP="00B46571">
      <w:pPr>
        <w:keepNext/>
        <w:ind w:left="851"/>
        <w:jc w:val="both"/>
        <w:outlineLvl w:val="0"/>
        <w:rPr>
          <w:b/>
          <w:szCs w:val="22"/>
        </w:rPr>
      </w:pPr>
    </w:p>
    <w:p w:rsidR="00B46571" w:rsidRPr="00B46571" w:rsidRDefault="00B46571" w:rsidP="00B9127D">
      <w:pPr>
        <w:keepNext/>
        <w:numPr>
          <w:ilvl w:val="1"/>
          <w:numId w:val="1"/>
        </w:numPr>
        <w:ind w:left="851" w:hanging="567"/>
        <w:jc w:val="both"/>
        <w:outlineLvl w:val="0"/>
        <w:rPr>
          <w:b/>
          <w:szCs w:val="22"/>
        </w:rPr>
      </w:pPr>
      <w:r>
        <w:rPr>
          <w:rFonts w:cs="Arial"/>
          <w:szCs w:val="22"/>
        </w:rPr>
        <w:t>Continued uncertainty in the aftermath of the 2008 financial crisis has promoted a cautious approach whereby investments would continue to be dominated by low counterparty risk considerations, resulting in relatively low returns compared to borrowing rates. The Council has continued to achieve budget savings by maintaining a position of under borrowing, which means that it has used its own cash balances to finance capital expenditure rather than taking external loans.</w:t>
      </w:r>
    </w:p>
    <w:p w:rsidR="00B46571" w:rsidRDefault="00B46571" w:rsidP="00B46571">
      <w:pPr>
        <w:pStyle w:val="ListParagraph"/>
        <w:rPr>
          <w:b/>
        </w:rPr>
      </w:pPr>
    </w:p>
    <w:p w:rsidR="00B46571" w:rsidRPr="00F55AEC" w:rsidRDefault="00B46571" w:rsidP="00B9127D">
      <w:pPr>
        <w:keepNext/>
        <w:numPr>
          <w:ilvl w:val="1"/>
          <w:numId w:val="1"/>
        </w:numPr>
        <w:ind w:left="851" w:hanging="567"/>
        <w:jc w:val="both"/>
        <w:outlineLvl w:val="0"/>
        <w:rPr>
          <w:b/>
          <w:szCs w:val="22"/>
        </w:rPr>
      </w:pPr>
      <w:r w:rsidRPr="00B46571">
        <w:rPr>
          <w:b/>
          <w:szCs w:val="22"/>
        </w:rPr>
        <w:t>Investment Policy.</w:t>
      </w:r>
      <w:r>
        <w:rPr>
          <w:szCs w:val="22"/>
        </w:rPr>
        <w:t xml:space="preserve"> The Council’s investment policy is governed by MHCLG investment guidance, which has been implemented in the annual investment strategy approved by Council for 2018/19. This policy sets out the approach for choosing investment counterparties,</w:t>
      </w:r>
      <w:r w:rsidR="00CA18B7">
        <w:rPr>
          <w:szCs w:val="22"/>
        </w:rPr>
        <w:t xml:space="preserve"> and</w:t>
      </w:r>
      <w:r>
        <w:rPr>
          <w:szCs w:val="22"/>
        </w:rPr>
        <w:t xml:space="preserve"> is based on credit ratings </w:t>
      </w:r>
      <w:r w:rsidR="00CA18B7">
        <w:rPr>
          <w:szCs w:val="22"/>
        </w:rPr>
        <w:t>provided by the three main credit rating agencies, supplemented by additional market data (such as ratings outlooks, credit default swaps, banks share prices etc.). Link Asset Services, the Council’s treasury advisors, provide suggested investment durations for the approved counterparties. From time to time, suggested durations reduce after a term deposit has been placed, for instance from twelve to six months, but this did not occur during 2018/19.</w:t>
      </w:r>
    </w:p>
    <w:p w:rsidR="00F55AEC" w:rsidRPr="00F55AEC" w:rsidRDefault="00F55AEC" w:rsidP="00F55AEC">
      <w:pPr>
        <w:rPr>
          <w:b/>
        </w:rPr>
      </w:pPr>
    </w:p>
    <w:p w:rsidR="00F55AEC" w:rsidRPr="00F55AEC" w:rsidRDefault="00F55AEC" w:rsidP="00B9127D">
      <w:pPr>
        <w:keepNext/>
        <w:numPr>
          <w:ilvl w:val="1"/>
          <w:numId w:val="1"/>
        </w:numPr>
        <w:ind w:left="851" w:hanging="567"/>
        <w:jc w:val="both"/>
        <w:outlineLvl w:val="0"/>
        <w:rPr>
          <w:szCs w:val="22"/>
        </w:rPr>
      </w:pPr>
      <w:r w:rsidRPr="00F55AEC">
        <w:rPr>
          <w:szCs w:val="22"/>
        </w:rPr>
        <w:t xml:space="preserve">Investment performance for </w:t>
      </w:r>
      <w:r>
        <w:rPr>
          <w:szCs w:val="22"/>
        </w:rPr>
        <w:t>2018/19 is presented in Table 9.</w:t>
      </w:r>
    </w:p>
    <w:p w:rsidR="00CA18B7" w:rsidRPr="00F55AEC" w:rsidRDefault="00CA18B7" w:rsidP="00CA18B7">
      <w:pPr>
        <w:pStyle w:val="ListParagraph"/>
      </w:pPr>
    </w:p>
    <w:tbl>
      <w:tblPr>
        <w:tblW w:w="7300" w:type="dxa"/>
        <w:jc w:val="center"/>
        <w:tblLook w:val="04A0" w:firstRow="1" w:lastRow="0" w:firstColumn="1" w:lastColumn="0" w:noHBand="0" w:noVBand="1"/>
      </w:tblPr>
      <w:tblGrid>
        <w:gridCol w:w="3760"/>
        <w:gridCol w:w="1380"/>
        <w:gridCol w:w="1080"/>
        <w:gridCol w:w="1085"/>
      </w:tblGrid>
      <w:tr w:rsidR="00F55AEC" w:rsidRPr="00F55AEC" w:rsidTr="00F55AEC">
        <w:trPr>
          <w:trHeight w:val="900"/>
          <w:jc w:val="center"/>
        </w:trPr>
        <w:tc>
          <w:tcPr>
            <w:tcW w:w="3760" w:type="dxa"/>
            <w:tcBorders>
              <w:top w:val="single" w:sz="4" w:space="0" w:color="auto"/>
              <w:left w:val="single" w:sz="4" w:space="0" w:color="auto"/>
              <w:bottom w:val="nil"/>
              <w:right w:val="nil"/>
            </w:tcBorders>
            <w:shd w:val="clear" w:color="000000" w:fill="BFBFBF"/>
            <w:vAlign w:val="center"/>
            <w:hideMark/>
          </w:tcPr>
          <w:p w:rsidR="00F55AEC" w:rsidRPr="00F55AEC" w:rsidRDefault="00F55AEC" w:rsidP="00F55AEC">
            <w:pPr>
              <w:rPr>
                <w:rFonts w:cs="Arial"/>
                <w:b/>
                <w:bCs/>
                <w:color w:val="000000"/>
                <w:szCs w:val="22"/>
              </w:rPr>
            </w:pPr>
            <w:r w:rsidRPr="00F55AEC">
              <w:rPr>
                <w:rFonts w:cs="Arial"/>
                <w:b/>
                <w:bCs/>
                <w:color w:val="000000"/>
                <w:szCs w:val="22"/>
              </w:rPr>
              <w:t>Table 9 - Investment Performance 2018/19</w:t>
            </w:r>
          </w:p>
        </w:tc>
        <w:tc>
          <w:tcPr>
            <w:tcW w:w="1380" w:type="dxa"/>
            <w:tcBorders>
              <w:top w:val="single" w:sz="4" w:space="0" w:color="auto"/>
              <w:left w:val="single" w:sz="4" w:space="0" w:color="auto"/>
              <w:bottom w:val="nil"/>
              <w:right w:val="single" w:sz="4" w:space="0" w:color="auto"/>
            </w:tcBorders>
            <w:shd w:val="clear" w:color="000000" w:fill="BFBFBF"/>
            <w:vAlign w:val="bottom"/>
            <w:hideMark/>
          </w:tcPr>
          <w:p w:rsidR="00F55AEC" w:rsidRPr="00F55AEC" w:rsidRDefault="00F55AEC" w:rsidP="00F55AEC">
            <w:pPr>
              <w:jc w:val="center"/>
              <w:rPr>
                <w:rFonts w:cs="Arial"/>
                <w:b/>
                <w:bCs/>
                <w:color w:val="000000"/>
                <w:szCs w:val="22"/>
              </w:rPr>
            </w:pPr>
            <w:r w:rsidRPr="00F55AEC">
              <w:rPr>
                <w:rFonts w:cs="Arial"/>
                <w:b/>
                <w:bCs/>
                <w:color w:val="000000"/>
                <w:szCs w:val="22"/>
              </w:rPr>
              <w:t>Average Daily Investment</w:t>
            </w:r>
          </w:p>
        </w:tc>
        <w:tc>
          <w:tcPr>
            <w:tcW w:w="1080" w:type="dxa"/>
            <w:tcBorders>
              <w:top w:val="single" w:sz="4" w:space="0" w:color="auto"/>
              <w:left w:val="nil"/>
              <w:bottom w:val="nil"/>
              <w:right w:val="single" w:sz="4" w:space="0" w:color="auto"/>
            </w:tcBorders>
            <w:shd w:val="clear" w:color="000000" w:fill="BFBFBF"/>
            <w:vAlign w:val="bottom"/>
            <w:hideMark/>
          </w:tcPr>
          <w:p w:rsidR="00F55AEC" w:rsidRPr="00F55AEC" w:rsidRDefault="00F55AEC" w:rsidP="00F55AEC">
            <w:pPr>
              <w:jc w:val="center"/>
              <w:rPr>
                <w:rFonts w:cs="Arial"/>
                <w:b/>
                <w:bCs/>
                <w:color w:val="000000"/>
                <w:szCs w:val="22"/>
              </w:rPr>
            </w:pPr>
            <w:r w:rsidRPr="00F55AEC">
              <w:rPr>
                <w:rFonts w:cs="Arial"/>
                <w:b/>
                <w:bCs/>
                <w:color w:val="000000"/>
                <w:szCs w:val="22"/>
              </w:rPr>
              <w:t>Interest 2018/19</w:t>
            </w:r>
          </w:p>
        </w:tc>
        <w:tc>
          <w:tcPr>
            <w:tcW w:w="1080" w:type="dxa"/>
            <w:tcBorders>
              <w:top w:val="single" w:sz="4" w:space="0" w:color="auto"/>
              <w:left w:val="nil"/>
              <w:bottom w:val="nil"/>
              <w:right w:val="single" w:sz="4" w:space="0" w:color="auto"/>
            </w:tcBorders>
            <w:shd w:val="clear" w:color="000000" w:fill="BFBFBF"/>
            <w:vAlign w:val="bottom"/>
            <w:hideMark/>
          </w:tcPr>
          <w:p w:rsidR="00F55AEC" w:rsidRPr="00F55AEC" w:rsidRDefault="00F55AEC" w:rsidP="00F55AEC">
            <w:pPr>
              <w:jc w:val="center"/>
              <w:rPr>
                <w:rFonts w:cs="Arial"/>
                <w:b/>
                <w:bCs/>
                <w:color w:val="000000"/>
                <w:szCs w:val="22"/>
              </w:rPr>
            </w:pPr>
            <w:r w:rsidRPr="00F55AEC">
              <w:rPr>
                <w:rFonts w:cs="Arial"/>
                <w:b/>
                <w:bCs/>
                <w:color w:val="000000"/>
                <w:szCs w:val="22"/>
              </w:rPr>
              <w:t>Average Rate</w:t>
            </w:r>
          </w:p>
        </w:tc>
      </w:tr>
      <w:tr w:rsidR="00F55AEC" w:rsidRPr="00F55AEC" w:rsidTr="00F55AEC">
        <w:trPr>
          <w:trHeight w:val="300"/>
          <w:jc w:val="center"/>
        </w:trPr>
        <w:tc>
          <w:tcPr>
            <w:tcW w:w="3760" w:type="dxa"/>
            <w:tcBorders>
              <w:top w:val="nil"/>
              <w:left w:val="single" w:sz="4" w:space="0" w:color="auto"/>
              <w:bottom w:val="single" w:sz="4" w:space="0" w:color="auto"/>
              <w:right w:val="nil"/>
            </w:tcBorders>
            <w:shd w:val="clear" w:color="000000" w:fill="BFBFBF"/>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c>
          <w:tcPr>
            <w:tcW w:w="1380" w:type="dxa"/>
            <w:tcBorders>
              <w:top w:val="nil"/>
              <w:left w:val="single" w:sz="4" w:space="0" w:color="auto"/>
              <w:bottom w:val="single" w:sz="4" w:space="0" w:color="auto"/>
              <w:right w:val="single" w:sz="4" w:space="0" w:color="auto"/>
            </w:tcBorders>
            <w:shd w:val="clear" w:color="000000" w:fill="BFBFBF"/>
            <w:vAlign w:val="bottom"/>
            <w:hideMark/>
          </w:tcPr>
          <w:p w:rsidR="00F55AEC" w:rsidRPr="00F55AEC" w:rsidRDefault="00F55AEC" w:rsidP="00F55AEC">
            <w:pPr>
              <w:jc w:val="center"/>
              <w:rPr>
                <w:rFonts w:cs="Arial"/>
                <w:b/>
                <w:bCs/>
                <w:color w:val="000000"/>
                <w:szCs w:val="22"/>
              </w:rPr>
            </w:pPr>
            <w:r w:rsidRPr="00F55AEC">
              <w:rPr>
                <w:rFonts w:cs="Arial"/>
                <w:b/>
                <w:bCs/>
                <w:color w:val="000000"/>
                <w:szCs w:val="22"/>
              </w:rPr>
              <w:t>£000</w:t>
            </w:r>
          </w:p>
        </w:tc>
        <w:tc>
          <w:tcPr>
            <w:tcW w:w="1080" w:type="dxa"/>
            <w:tcBorders>
              <w:top w:val="nil"/>
              <w:left w:val="nil"/>
              <w:bottom w:val="single" w:sz="4" w:space="0" w:color="auto"/>
              <w:right w:val="single" w:sz="4" w:space="0" w:color="auto"/>
            </w:tcBorders>
            <w:shd w:val="clear" w:color="000000" w:fill="BFBFBF"/>
            <w:vAlign w:val="bottom"/>
            <w:hideMark/>
          </w:tcPr>
          <w:p w:rsidR="00F55AEC" w:rsidRPr="00F55AEC" w:rsidRDefault="00F55AEC" w:rsidP="00F55AEC">
            <w:pPr>
              <w:jc w:val="center"/>
              <w:rPr>
                <w:rFonts w:cs="Arial"/>
                <w:b/>
                <w:bCs/>
                <w:color w:val="000000"/>
                <w:szCs w:val="22"/>
              </w:rPr>
            </w:pPr>
            <w:r w:rsidRPr="00F55AEC">
              <w:rPr>
                <w:rFonts w:cs="Arial"/>
                <w:b/>
                <w:bCs/>
                <w:color w:val="000000"/>
                <w:szCs w:val="22"/>
              </w:rPr>
              <w:t>£</w:t>
            </w:r>
          </w:p>
        </w:tc>
        <w:tc>
          <w:tcPr>
            <w:tcW w:w="1080" w:type="dxa"/>
            <w:tcBorders>
              <w:top w:val="nil"/>
              <w:left w:val="nil"/>
              <w:bottom w:val="single" w:sz="4" w:space="0" w:color="auto"/>
              <w:right w:val="single" w:sz="4" w:space="0" w:color="auto"/>
            </w:tcBorders>
            <w:shd w:val="clear" w:color="000000" w:fill="BFBFBF"/>
            <w:vAlign w:val="bottom"/>
            <w:hideMark/>
          </w:tcPr>
          <w:p w:rsidR="00F55AEC" w:rsidRPr="00F55AEC" w:rsidRDefault="00F55AEC" w:rsidP="00F55AEC">
            <w:pPr>
              <w:jc w:val="center"/>
              <w:rPr>
                <w:rFonts w:cs="Arial"/>
                <w:b/>
                <w:bCs/>
                <w:color w:val="000000"/>
                <w:szCs w:val="22"/>
              </w:rPr>
            </w:pPr>
            <w:r w:rsidRPr="00F55AEC">
              <w:rPr>
                <w:rFonts w:cs="Arial"/>
                <w:b/>
                <w:bCs/>
                <w:color w:val="000000"/>
                <w:szCs w:val="22"/>
              </w:rPr>
              <w:t>%</w:t>
            </w:r>
          </w:p>
        </w:tc>
      </w:tr>
      <w:tr w:rsidR="00F55AEC" w:rsidRPr="00F55AEC" w:rsidTr="00F55AEC">
        <w:trPr>
          <w:trHeight w:val="285"/>
          <w:jc w:val="center"/>
        </w:trPr>
        <w:tc>
          <w:tcPr>
            <w:tcW w:w="3760" w:type="dxa"/>
            <w:tcBorders>
              <w:top w:val="nil"/>
              <w:left w:val="single" w:sz="4" w:space="0" w:color="auto"/>
              <w:bottom w:val="nil"/>
              <w:right w:val="nil"/>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c>
          <w:tcPr>
            <w:tcW w:w="1380" w:type="dxa"/>
            <w:tcBorders>
              <w:top w:val="nil"/>
              <w:left w:val="single" w:sz="4" w:space="0" w:color="auto"/>
              <w:bottom w:val="nil"/>
              <w:right w:val="single" w:sz="4" w:space="0" w:color="auto"/>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r>
      <w:tr w:rsidR="00F55AEC" w:rsidRPr="00F55AEC" w:rsidTr="00F55AEC">
        <w:trPr>
          <w:trHeight w:val="285"/>
          <w:jc w:val="center"/>
        </w:trPr>
        <w:tc>
          <w:tcPr>
            <w:tcW w:w="3760" w:type="dxa"/>
            <w:tcBorders>
              <w:top w:val="nil"/>
              <w:left w:val="single" w:sz="4" w:space="0" w:color="auto"/>
              <w:bottom w:val="nil"/>
              <w:right w:val="nil"/>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Fixed Term Deposits</w:t>
            </w:r>
          </w:p>
        </w:tc>
        <w:tc>
          <w:tcPr>
            <w:tcW w:w="1380" w:type="dxa"/>
            <w:tcBorders>
              <w:top w:val="nil"/>
              <w:left w:val="single" w:sz="4" w:space="0" w:color="auto"/>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18,384</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147,963</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0.80</w:t>
            </w:r>
          </w:p>
        </w:tc>
      </w:tr>
      <w:tr w:rsidR="00F55AEC" w:rsidRPr="00F55AEC" w:rsidTr="00F55AEC">
        <w:trPr>
          <w:trHeight w:val="285"/>
          <w:jc w:val="center"/>
        </w:trPr>
        <w:tc>
          <w:tcPr>
            <w:tcW w:w="3760" w:type="dxa"/>
            <w:tcBorders>
              <w:top w:val="nil"/>
              <w:left w:val="single" w:sz="4" w:space="0" w:color="auto"/>
              <w:bottom w:val="nil"/>
              <w:right w:val="nil"/>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Notice Accounts</w:t>
            </w:r>
          </w:p>
        </w:tc>
        <w:tc>
          <w:tcPr>
            <w:tcW w:w="1380" w:type="dxa"/>
            <w:tcBorders>
              <w:top w:val="nil"/>
              <w:left w:val="single" w:sz="4" w:space="0" w:color="auto"/>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8,795</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78,669</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0.89</w:t>
            </w:r>
          </w:p>
        </w:tc>
      </w:tr>
      <w:tr w:rsidR="00F55AEC" w:rsidRPr="00F55AEC" w:rsidTr="00F55AEC">
        <w:trPr>
          <w:trHeight w:val="285"/>
          <w:jc w:val="center"/>
        </w:trPr>
        <w:tc>
          <w:tcPr>
            <w:tcW w:w="3760" w:type="dxa"/>
            <w:tcBorders>
              <w:top w:val="nil"/>
              <w:left w:val="single" w:sz="4" w:space="0" w:color="auto"/>
              <w:bottom w:val="nil"/>
              <w:right w:val="nil"/>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Call Accounts</w:t>
            </w:r>
          </w:p>
        </w:tc>
        <w:tc>
          <w:tcPr>
            <w:tcW w:w="1380" w:type="dxa"/>
            <w:tcBorders>
              <w:top w:val="nil"/>
              <w:left w:val="single" w:sz="4" w:space="0" w:color="auto"/>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2,034</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9,505</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0.47</w:t>
            </w:r>
          </w:p>
        </w:tc>
      </w:tr>
      <w:tr w:rsidR="00F55AEC" w:rsidRPr="00F55AEC" w:rsidTr="00F55AEC">
        <w:trPr>
          <w:trHeight w:val="285"/>
          <w:jc w:val="center"/>
        </w:trPr>
        <w:tc>
          <w:tcPr>
            <w:tcW w:w="3760" w:type="dxa"/>
            <w:tcBorders>
              <w:top w:val="nil"/>
              <w:left w:val="single" w:sz="4" w:space="0" w:color="auto"/>
              <w:bottom w:val="nil"/>
              <w:right w:val="nil"/>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Money Market Funds</w:t>
            </w:r>
          </w:p>
        </w:tc>
        <w:tc>
          <w:tcPr>
            <w:tcW w:w="1380" w:type="dxa"/>
            <w:tcBorders>
              <w:top w:val="nil"/>
              <w:left w:val="single" w:sz="4" w:space="0" w:color="auto"/>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10,779</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66,134</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0.61</w:t>
            </w:r>
          </w:p>
        </w:tc>
      </w:tr>
      <w:tr w:rsidR="00F55AEC" w:rsidRPr="00F55AEC" w:rsidTr="00F55AEC">
        <w:trPr>
          <w:trHeight w:val="285"/>
          <w:jc w:val="center"/>
        </w:trPr>
        <w:tc>
          <w:tcPr>
            <w:tcW w:w="3760" w:type="dxa"/>
            <w:tcBorders>
              <w:top w:val="nil"/>
              <w:left w:val="single" w:sz="4" w:space="0" w:color="auto"/>
              <w:bottom w:val="nil"/>
              <w:right w:val="nil"/>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Debt Management Office DMADF</w:t>
            </w:r>
          </w:p>
        </w:tc>
        <w:tc>
          <w:tcPr>
            <w:tcW w:w="1380" w:type="dxa"/>
            <w:tcBorders>
              <w:top w:val="nil"/>
              <w:left w:val="single" w:sz="4" w:space="0" w:color="auto"/>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64</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322</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jc w:val="right"/>
              <w:rPr>
                <w:rFonts w:cs="Arial"/>
                <w:color w:val="000000"/>
                <w:szCs w:val="22"/>
              </w:rPr>
            </w:pPr>
            <w:r w:rsidRPr="00F55AEC">
              <w:rPr>
                <w:rFonts w:cs="Arial"/>
                <w:color w:val="000000"/>
                <w:szCs w:val="22"/>
              </w:rPr>
              <w:t>0.50</w:t>
            </w:r>
          </w:p>
        </w:tc>
      </w:tr>
      <w:tr w:rsidR="00F55AEC" w:rsidRPr="00F55AEC" w:rsidTr="00F55AEC">
        <w:trPr>
          <w:trHeight w:val="285"/>
          <w:jc w:val="center"/>
        </w:trPr>
        <w:tc>
          <w:tcPr>
            <w:tcW w:w="3760" w:type="dxa"/>
            <w:tcBorders>
              <w:top w:val="nil"/>
              <w:left w:val="single" w:sz="4" w:space="0" w:color="auto"/>
              <w:bottom w:val="nil"/>
              <w:right w:val="nil"/>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c>
          <w:tcPr>
            <w:tcW w:w="1380" w:type="dxa"/>
            <w:tcBorders>
              <w:top w:val="nil"/>
              <w:left w:val="single" w:sz="4" w:space="0" w:color="auto"/>
              <w:bottom w:val="nil"/>
              <w:right w:val="single" w:sz="4" w:space="0" w:color="auto"/>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55AEC" w:rsidRPr="00F55AEC" w:rsidRDefault="00F55AEC" w:rsidP="00F55AEC">
            <w:pPr>
              <w:rPr>
                <w:rFonts w:cs="Arial"/>
                <w:color w:val="000000"/>
                <w:szCs w:val="22"/>
              </w:rPr>
            </w:pPr>
            <w:r w:rsidRPr="00F55AEC">
              <w:rPr>
                <w:rFonts w:cs="Arial"/>
                <w:color w:val="000000"/>
                <w:szCs w:val="22"/>
              </w:rPr>
              <w:t> </w:t>
            </w:r>
          </w:p>
        </w:tc>
      </w:tr>
      <w:tr w:rsidR="00F55AEC" w:rsidRPr="00F55AEC" w:rsidTr="00F55AEC">
        <w:trPr>
          <w:trHeight w:val="300"/>
          <w:jc w:val="center"/>
        </w:trPr>
        <w:tc>
          <w:tcPr>
            <w:tcW w:w="3760" w:type="dxa"/>
            <w:tcBorders>
              <w:top w:val="nil"/>
              <w:left w:val="single" w:sz="4" w:space="0" w:color="auto"/>
              <w:bottom w:val="single" w:sz="4" w:space="0" w:color="auto"/>
              <w:right w:val="nil"/>
            </w:tcBorders>
            <w:shd w:val="clear" w:color="auto" w:fill="auto"/>
            <w:noWrap/>
            <w:vAlign w:val="bottom"/>
            <w:hideMark/>
          </w:tcPr>
          <w:p w:rsidR="00F55AEC" w:rsidRPr="00F55AEC" w:rsidRDefault="00F55AEC" w:rsidP="00F55AEC">
            <w:pPr>
              <w:rPr>
                <w:rFonts w:cs="Arial"/>
                <w:b/>
                <w:bCs/>
                <w:color w:val="000000"/>
                <w:szCs w:val="22"/>
              </w:rPr>
            </w:pPr>
            <w:r w:rsidRPr="00F55AEC">
              <w:rPr>
                <w:rFonts w:cs="Arial"/>
                <w:b/>
                <w:bCs/>
                <w:color w:val="000000"/>
                <w:szCs w:val="22"/>
              </w:rPr>
              <w:t>Total</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EC" w:rsidRPr="00F55AEC" w:rsidRDefault="00F55AEC" w:rsidP="00F55AEC">
            <w:pPr>
              <w:jc w:val="right"/>
              <w:rPr>
                <w:rFonts w:cs="Arial"/>
                <w:b/>
                <w:bCs/>
                <w:color w:val="000000"/>
                <w:szCs w:val="22"/>
              </w:rPr>
            </w:pPr>
            <w:r w:rsidRPr="00F55AEC">
              <w:rPr>
                <w:rFonts w:cs="Arial"/>
                <w:b/>
                <w:bCs/>
                <w:color w:val="000000"/>
                <w:szCs w:val="22"/>
              </w:rPr>
              <w:t>40,056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55AEC" w:rsidRPr="00F55AEC" w:rsidRDefault="00F55AEC" w:rsidP="00F55AEC">
            <w:pPr>
              <w:jc w:val="right"/>
              <w:rPr>
                <w:rFonts w:cs="Arial"/>
                <w:b/>
                <w:bCs/>
                <w:color w:val="000000"/>
                <w:szCs w:val="22"/>
              </w:rPr>
            </w:pPr>
            <w:r w:rsidRPr="00F55AEC">
              <w:rPr>
                <w:rFonts w:cs="Arial"/>
                <w:b/>
                <w:bCs/>
                <w:color w:val="000000"/>
                <w:szCs w:val="22"/>
              </w:rPr>
              <w:t>302,593</w:t>
            </w:r>
          </w:p>
        </w:tc>
        <w:tc>
          <w:tcPr>
            <w:tcW w:w="1080" w:type="dxa"/>
            <w:tcBorders>
              <w:top w:val="nil"/>
              <w:left w:val="nil"/>
              <w:bottom w:val="single" w:sz="4" w:space="0" w:color="auto"/>
              <w:right w:val="single" w:sz="4" w:space="0" w:color="auto"/>
            </w:tcBorders>
            <w:shd w:val="clear" w:color="auto" w:fill="auto"/>
            <w:noWrap/>
            <w:vAlign w:val="bottom"/>
            <w:hideMark/>
          </w:tcPr>
          <w:p w:rsidR="00F55AEC" w:rsidRPr="00F55AEC" w:rsidRDefault="00F55AEC" w:rsidP="00F55AEC">
            <w:pPr>
              <w:jc w:val="right"/>
              <w:rPr>
                <w:rFonts w:cs="Arial"/>
                <w:b/>
                <w:bCs/>
                <w:color w:val="000000"/>
                <w:szCs w:val="22"/>
              </w:rPr>
            </w:pPr>
            <w:r w:rsidRPr="00F55AEC">
              <w:rPr>
                <w:rFonts w:cs="Arial"/>
                <w:b/>
                <w:bCs/>
                <w:color w:val="000000"/>
                <w:szCs w:val="22"/>
              </w:rPr>
              <w:t>0.76</w:t>
            </w:r>
          </w:p>
        </w:tc>
      </w:tr>
    </w:tbl>
    <w:p w:rsidR="00F55AEC" w:rsidRDefault="00F55AEC" w:rsidP="00CA18B7">
      <w:pPr>
        <w:pStyle w:val="ListParagraph"/>
        <w:rPr>
          <w:b/>
        </w:rPr>
      </w:pPr>
    </w:p>
    <w:p w:rsidR="00CA18B7" w:rsidRDefault="00F55AEC" w:rsidP="00B9127D">
      <w:pPr>
        <w:keepNext/>
        <w:numPr>
          <w:ilvl w:val="1"/>
          <w:numId w:val="1"/>
        </w:numPr>
        <w:ind w:left="851" w:hanging="567"/>
        <w:jc w:val="both"/>
        <w:outlineLvl w:val="0"/>
        <w:rPr>
          <w:szCs w:val="22"/>
        </w:rPr>
      </w:pPr>
      <w:r w:rsidRPr="00F55AEC">
        <w:rPr>
          <w:szCs w:val="22"/>
        </w:rPr>
        <w:t>The average return</w:t>
      </w:r>
      <w:r>
        <w:rPr>
          <w:szCs w:val="22"/>
        </w:rPr>
        <w:t xml:space="preserve"> of 0.76% in 2018/19 compares to the 0.49% achieved in the previous year, and reflects the gradual increase in interest rates. </w:t>
      </w:r>
      <w:r w:rsidR="003F03C2">
        <w:rPr>
          <w:szCs w:val="22"/>
        </w:rPr>
        <w:t>It proved necessary to use the Debt Management Office’s Debt Management Account Deposit Facility for short periods when balances with other counterparties had reached the maximum approved by Council. This was avoided later in the year by an increase in the maximum investment per UK bank or local authority from £5m to £6m.</w:t>
      </w:r>
    </w:p>
    <w:p w:rsidR="003F03C2" w:rsidRDefault="003F03C2" w:rsidP="003F03C2">
      <w:pPr>
        <w:keepNext/>
        <w:ind w:left="851"/>
        <w:jc w:val="both"/>
        <w:outlineLvl w:val="0"/>
        <w:rPr>
          <w:szCs w:val="22"/>
        </w:rPr>
      </w:pPr>
    </w:p>
    <w:p w:rsidR="003F03C2" w:rsidRDefault="003F03C2" w:rsidP="00B9127D">
      <w:pPr>
        <w:keepNext/>
        <w:numPr>
          <w:ilvl w:val="1"/>
          <w:numId w:val="1"/>
        </w:numPr>
        <w:ind w:left="851" w:hanging="567"/>
        <w:jc w:val="both"/>
        <w:outlineLvl w:val="0"/>
        <w:rPr>
          <w:szCs w:val="22"/>
        </w:rPr>
      </w:pPr>
      <w:r>
        <w:rPr>
          <w:szCs w:val="22"/>
        </w:rPr>
        <w:t>The average 7-day LIBID for 2018/19 was 0.50%. The target to exceed for 2018/19 was 7-day LIBID plus 15%, which was 0.57%. This was achieved.</w:t>
      </w:r>
    </w:p>
    <w:p w:rsidR="003F03C2" w:rsidRDefault="003F03C2" w:rsidP="003F03C2">
      <w:pPr>
        <w:keepNext/>
        <w:jc w:val="both"/>
        <w:outlineLvl w:val="0"/>
        <w:rPr>
          <w:szCs w:val="22"/>
        </w:rPr>
      </w:pPr>
    </w:p>
    <w:p w:rsidR="003F03C2" w:rsidRDefault="003F03C2" w:rsidP="00B9127D">
      <w:pPr>
        <w:keepNext/>
        <w:numPr>
          <w:ilvl w:val="1"/>
          <w:numId w:val="1"/>
        </w:numPr>
        <w:ind w:left="851" w:hanging="567"/>
        <w:jc w:val="both"/>
        <w:outlineLvl w:val="0"/>
        <w:rPr>
          <w:szCs w:val="22"/>
        </w:rPr>
      </w:pPr>
      <w:r>
        <w:rPr>
          <w:szCs w:val="22"/>
        </w:rPr>
        <w:t>Link Asset Services suggested a budgeted investment earnings rate of 0.60% for 2018/19, based on investment durations of up to three months. Though the Council placed few term deposits in the first half of the year, more cash was invested for durations of up to a year in the second half, and the target was exceeded.</w:t>
      </w:r>
    </w:p>
    <w:p w:rsidR="006E1115" w:rsidRDefault="006E1115" w:rsidP="006E1115">
      <w:pPr>
        <w:keepNext/>
        <w:jc w:val="both"/>
        <w:outlineLvl w:val="0"/>
        <w:rPr>
          <w:rFonts w:ascii="Calibri" w:eastAsia="Calibri" w:hAnsi="Calibri"/>
          <w:szCs w:val="22"/>
          <w:lang w:eastAsia="en-US"/>
        </w:rPr>
      </w:pPr>
    </w:p>
    <w:p w:rsidR="002D48BF" w:rsidRDefault="002D48BF" w:rsidP="006E1115">
      <w:pPr>
        <w:keepNext/>
        <w:jc w:val="both"/>
        <w:outlineLvl w:val="0"/>
        <w:rPr>
          <w:rFonts w:ascii="Calibri" w:eastAsia="Calibri" w:hAnsi="Calibri"/>
          <w:szCs w:val="22"/>
          <w:lang w:eastAsia="en-US"/>
        </w:rPr>
      </w:pPr>
    </w:p>
    <w:p w:rsidR="002D48BF" w:rsidRPr="00847656" w:rsidRDefault="002D48BF" w:rsidP="002D48BF">
      <w:pPr>
        <w:numPr>
          <w:ilvl w:val="0"/>
          <w:numId w:val="1"/>
        </w:numPr>
        <w:jc w:val="both"/>
        <w:rPr>
          <w:b/>
          <w:szCs w:val="22"/>
        </w:rPr>
      </w:pPr>
      <w:r>
        <w:rPr>
          <w:b/>
          <w:szCs w:val="22"/>
        </w:rPr>
        <w:t>MONITORING JUNE QUARTER 2019/20</w:t>
      </w:r>
    </w:p>
    <w:p w:rsidR="002D48BF" w:rsidRPr="00847656" w:rsidRDefault="002D48BF" w:rsidP="002D48BF">
      <w:pPr>
        <w:ind w:left="360"/>
        <w:jc w:val="both"/>
        <w:rPr>
          <w:b/>
          <w:szCs w:val="22"/>
        </w:rPr>
      </w:pPr>
    </w:p>
    <w:p w:rsidR="002D48BF" w:rsidRPr="00485652" w:rsidRDefault="00DD7C9F" w:rsidP="002D48BF">
      <w:pPr>
        <w:keepNext/>
        <w:numPr>
          <w:ilvl w:val="1"/>
          <w:numId w:val="1"/>
        </w:numPr>
        <w:ind w:left="851" w:hanging="567"/>
        <w:jc w:val="both"/>
        <w:outlineLvl w:val="0"/>
        <w:rPr>
          <w:b/>
          <w:szCs w:val="22"/>
        </w:rPr>
      </w:pPr>
      <w:r>
        <w:rPr>
          <w:rFonts w:cs="Arial"/>
          <w:szCs w:val="22"/>
        </w:rPr>
        <w:t>Investments as at 30 June 2019 are listed in Appendix D. All investments, which totalled £39.59m, were in accordance with the approved investment strategy and list of counterparties for 2019/20. Of this total, £25.0m was in term deposits and notice accounts, and the balance of £14.59m was in more liquid accounts at lower rates of interest.</w:t>
      </w:r>
    </w:p>
    <w:p w:rsidR="00485652" w:rsidRPr="00485652" w:rsidRDefault="00485652" w:rsidP="00485652">
      <w:pPr>
        <w:keepNext/>
        <w:ind w:left="851"/>
        <w:jc w:val="both"/>
        <w:outlineLvl w:val="0"/>
        <w:rPr>
          <w:b/>
          <w:szCs w:val="22"/>
        </w:rPr>
      </w:pPr>
    </w:p>
    <w:p w:rsidR="00485652" w:rsidRPr="00057468" w:rsidRDefault="00485652" w:rsidP="002D48BF">
      <w:pPr>
        <w:keepNext/>
        <w:numPr>
          <w:ilvl w:val="1"/>
          <w:numId w:val="1"/>
        </w:numPr>
        <w:ind w:left="851" w:hanging="567"/>
        <w:jc w:val="both"/>
        <w:outlineLvl w:val="0"/>
        <w:rPr>
          <w:b/>
          <w:szCs w:val="22"/>
        </w:rPr>
      </w:pPr>
      <w:r>
        <w:rPr>
          <w:rFonts w:cs="Arial"/>
          <w:szCs w:val="22"/>
        </w:rPr>
        <w:t>Appendix E presents the approved limits for 2019/20.</w:t>
      </w:r>
    </w:p>
    <w:p w:rsidR="00057468" w:rsidRDefault="00057468" w:rsidP="00057468">
      <w:pPr>
        <w:pStyle w:val="ListParagraph"/>
        <w:rPr>
          <w:b/>
        </w:rPr>
      </w:pPr>
    </w:p>
    <w:p w:rsidR="00057468" w:rsidRDefault="00057468" w:rsidP="00057468">
      <w:pPr>
        <w:pStyle w:val="ListParagraph"/>
        <w:rPr>
          <w:b/>
        </w:rPr>
      </w:pPr>
    </w:p>
    <w:p w:rsidR="00057468" w:rsidRDefault="00057468" w:rsidP="00057468">
      <w:pPr>
        <w:pStyle w:val="ListParagraph"/>
        <w:rPr>
          <w:b/>
        </w:rPr>
      </w:pPr>
    </w:p>
    <w:p w:rsidR="00057468" w:rsidRDefault="00057468" w:rsidP="00057468">
      <w:pPr>
        <w:pStyle w:val="ListParagraph"/>
        <w:rPr>
          <w:b/>
        </w:rPr>
      </w:pPr>
    </w:p>
    <w:p w:rsidR="00057468" w:rsidRDefault="00057468" w:rsidP="00057468">
      <w:pPr>
        <w:pStyle w:val="ListParagraph"/>
        <w:rPr>
          <w:b/>
        </w:rPr>
      </w:pPr>
    </w:p>
    <w:p w:rsidR="00057468" w:rsidRDefault="00057468" w:rsidP="00057468">
      <w:pPr>
        <w:pStyle w:val="ListParagraph"/>
        <w:rPr>
          <w:b/>
        </w:rPr>
      </w:pPr>
    </w:p>
    <w:p w:rsidR="00057468" w:rsidRDefault="00057468" w:rsidP="00057468">
      <w:pPr>
        <w:pStyle w:val="ListParagraph"/>
        <w:rPr>
          <w:b/>
        </w:rPr>
      </w:pPr>
    </w:p>
    <w:p w:rsidR="00057468" w:rsidRDefault="00057468" w:rsidP="00057468">
      <w:pPr>
        <w:pStyle w:val="ListParagraph"/>
        <w:rPr>
          <w:b/>
        </w:rPr>
      </w:pPr>
    </w:p>
    <w:p w:rsidR="00057468" w:rsidRDefault="00057468" w:rsidP="00057468">
      <w:pPr>
        <w:pStyle w:val="ListParagraph"/>
        <w:rPr>
          <w:b/>
        </w:rPr>
      </w:pPr>
    </w:p>
    <w:p w:rsidR="006E1115" w:rsidRDefault="006E1115" w:rsidP="00E351AD">
      <w:pPr>
        <w:numPr>
          <w:ilvl w:val="0"/>
          <w:numId w:val="1"/>
        </w:numPr>
        <w:jc w:val="both"/>
        <w:rPr>
          <w:b/>
          <w:szCs w:val="22"/>
        </w:rPr>
      </w:pPr>
      <w:r w:rsidRPr="00A5653A">
        <w:rPr>
          <w:b/>
          <w:szCs w:val="22"/>
        </w:rPr>
        <w:t>ADVICE OF LINK ASSET SERVICES</w:t>
      </w:r>
    </w:p>
    <w:p w:rsidR="00057468" w:rsidRDefault="00057468" w:rsidP="00057468">
      <w:pPr>
        <w:jc w:val="both"/>
        <w:rPr>
          <w:b/>
          <w:szCs w:val="22"/>
        </w:rPr>
      </w:pPr>
    </w:p>
    <w:p w:rsidR="00656E1C" w:rsidRPr="007C0158" w:rsidRDefault="00656E1C" w:rsidP="006E1115">
      <w:pPr>
        <w:keepNext/>
        <w:numPr>
          <w:ilvl w:val="1"/>
          <w:numId w:val="1"/>
        </w:numPr>
        <w:ind w:left="851" w:hanging="567"/>
        <w:jc w:val="both"/>
        <w:outlineLvl w:val="0"/>
        <w:rPr>
          <w:b/>
          <w:szCs w:val="22"/>
        </w:rPr>
      </w:pPr>
      <w:r>
        <w:rPr>
          <w:rFonts w:cs="Arial"/>
          <w:szCs w:val="22"/>
        </w:rPr>
        <w:t>Link Asset Services’ review of the Economy and Interest Rates in 2018/19 is presented as Appendix C</w:t>
      </w:r>
      <w:r w:rsidR="006E1115" w:rsidRPr="00CA18B7">
        <w:rPr>
          <w:rFonts w:cs="Arial"/>
          <w:szCs w:val="22"/>
        </w:rPr>
        <w:t>.</w:t>
      </w:r>
    </w:p>
    <w:p w:rsidR="007C0158" w:rsidRPr="00656E1C" w:rsidRDefault="007C0158" w:rsidP="007C0158">
      <w:pPr>
        <w:keepNext/>
        <w:ind w:left="851"/>
        <w:jc w:val="both"/>
        <w:outlineLvl w:val="0"/>
        <w:rPr>
          <w:b/>
          <w:szCs w:val="22"/>
        </w:rPr>
      </w:pPr>
    </w:p>
    <w:p w:rsidR="006E1115" w:rsidRPr="007C0158" w:rsidRDefault="007C0158" w:rsidP="006E1115">
      <w:pPr>
        <w:keepNext/>
        <w:numPr>
          <w:ilvl w:val="1"/>
          <w:numId w:val="1"/>
        </w:numPr>
        <w:ind w:left="851" w:hanging="567"/>
        <w:jc w:val="both"/>
        <w:outlineLvl w:val="0"/>
        <w:rPr>
          <w:b/>
          <w:szCs w:val="22"/>
        </w:rPr>
      </w:pPr>
      <w:r>
        <w:rPr>
          <w:rFonts w:cs="Arial"/>
          <w:szCs w:val="22"/>
        </w:rPr>
        <w:t>A detailed economic commentary on developments during</w:t>
      </w:r>
      <w:r w:rsidR="006F6815">
        <w:rPr>
          <w:rFonts w:cs="Arial"/>
          <w:szCs w:val="22"/>
        </w:rPr>
        <w:t xml:space="preserve"> the quarter ended 30 June 2019</w:t>
      </w:r>
      <w:r w:rsidR="006E1115" w:rsidRPr="00CA18B7">
        <w:rPr>
          <w:rFonts w:cs="Arial"/>
          <w:szCs w:val="22"/>
        </w:rPr>
        <w:t xml:space="preserve"> </w:t>
      </w:r>
      <w:r w:rsidR="00DD7C9F">
        <w:rPr>
          <w:rFonts w:cs="Arial"/>
          <w:szCs w:val="22"/>
        </w:rPr>
        <w:t>is presented as Appendix E</w:t>
      </w:r>
      <w:r>
        <w:rPr>
          <w:rFonts w:cs="Arial"/>
          <w:szCs w:val="22"/>
        </w:rPr>
        <w:t>.</w:t>
      </w:r>
    </w:p>
    <w:p w:rsidR="007C0158" w:rsidRDefault="007C0158" w:rsidP="007C0158">
      <w:pPr>
        <w:keepNext/>
        <w:ind w:left="851"/>
        <w:jc w:val="both"/>
        <w:outlineLvl w:val="0"/>
        <w:rPr>
          <w:szCs w:val="22"/>
        </w:rPr>
      </w:pPr>
    </w:p>
    <w:p w:rsidR="007C0158" w:rsidRPr="007C0158" w:rsidRDefault="00DD7C9F" w:rsidP="006E1115">
      <w:pPr>
        <w:keepNext/>
        <w:numPr>
          <w:ilvl w:val="1"/>
          <w:numId w:val="1"/>
        </w:numPr>
        <w:ind w:left="851" w:hanging="567"/>
        <w:jc w:val="both"/>
        <w:outlineLvl w:val="0"/>
        <w:rPr>
          <w:szCs w:val="22"/>
        </w:rPr>
      </w:pPr>
      <w:r>
        <w:rPr>
          <w:szCs w:val="22"/>
        </w:rPr>
        <w:t>Appendix F</w:t>
      </w:r>
      <w:r w:rsidR="007C0158" w:rsidRPr="007C0158">
        <w:rPr>
          <w:szCs w:val="22"/>
        </w:rPr>
        <w:t xml:space="preserve"> is a detailed commentary on interest rate forecasts.</w:t>
      </w:r>
      <w:r w:rsidR="00E04A63">
        <w:rPr>
          <w:szCs w:val="22"/>
        </w:rPr>
        <w:t xml:space="preserve"> This includes an updated forecast for the rate of return on cash invested for 2019/20 and subsequent years.</w:t>
      </w:r>
    </w:p>
    <w:p w:rsidR="00B9127D" w:rsidRPr="00F55AEC" w:rsidRDefault="00B9127D" w:rsidP="00B827C7">
      <w:pPr>
        <w:keepNext/>
        <w:jc w:val="both"/>
        <w:outlineLvl w:val="0"/>
        <w:rPr>
          <w:szCs w:val="22"/>
        </w:rPr>
      </w:pPr>
    </w:p>
    <w:p w:rsidR="00720A9E" w:rsidRDefault="00720A9E" w:rsidP="00167EFD">
      <w:pPr>
        <w:ind w:left="993" w:hanging="284"/>
        <w:rPr>
          <w:b/>
          <w:szCs w:val="22"/>
        </w:rPr>
      </w:pPr>
    </w:p>
    <w:p w:rsidR="00847656" w:rsidRPr="00847656" w:rsidRDefault="00847656" w:rsidP="00847656">
      <w:pPr>
        <w:numPr>
          <w:ilvl w:val="0"/>
          <w:numId w:val="1"/>
        </w:numPr>
        <w:jc w:val="both"/>
        <w:rPr>
          <w:b/>
          <w:szCs w:val="22"/>
        </w:rPr>
      </w:pPr>
      <w:r w:rsidRPr="00847656">
        <w:rPr>
          <w:b/>
          <w:szCs w:val="22"/>
        </w:rPr>
        <w:t>CONSULTATION CARRIED OUT AND OUTCOME OF CONSULTATION</w:t>
      </w:r>
    </w:p>
    <w:p w:rsidR="00847656" w:rsidRPr="00847656" w:rsidRDefault="00847656" w:rsidP="00847656">
      <w:pPr>
        <w:ind w:left="360"/>
        <w:jc w:val="both"/>
        <w:rPr>
          <w:b/>
          <w:szCs w:val="22"/>
        </w:rPr>
      </w:pPr>
    </w:p>
    <w:p w:rsidR="00847656" w:rsidRPr="00CA18B7" w:rsidRDefault="00847656" w:rsidP="00847656">
      <w:pPr>
        <w:keepNext/>
        <w:numPr>
          <w:ilvl w:val="1"/>
          <w:numId w:val="1"/>
        </w:numPr>
        <w:ind w:left="851" w:hanging="567"/>
        <w:jc w:val="both"/>
        <w:outlineLvl w:val="0"/>
        <w:rPr>
          <w:b/>
          <w:szCs w:val="22"/>
        </w:rPr>
      </w:pPr>
      <w:r w:rsidRPr="00CA18B7">
        <w:rPr>
          <w:rFonts w:cs="Arial"/>
          <w:szCs w:val="22"/>
        </w:rPr>
        <w:t xml:space="preserve">No consultation was undertaken in preparing this report. </w:t>
      </w:r>
      <w:r w:rsidR="00CA18B7">
        <w:rPr>
          <w:rFonts w:cs="Arial"/>
          <w:szCs w:val="22"/>
        </w:rPr>
        <w:t xml:space="preserve"> </w:t>
      </w:r>
    </w:p>
    <w:p w:rsidR="00CA18B7" w:rsidRDefault="00CA18B7" w:rsidP="00CA18B7">
      <w:pPr>
        <w:keepNext/>
        <w:ind w:left="851"/>
        <w:jc w:val="both"/>
        <w:outlineLvl w:val="0"/>
        <w:rPr>
          <w:b/>
          <w:szCs w:val="22"/>
        </w:rPr>
      </w:pPr>
    </w:p>
    <w:p w:rsidR="003F03C2" w:rsidRPr="00CA18B7" w:rsidRDefault="003F03C2" w:rsidP="00CA18B7">
      <w:pPr>
        <w:keepNext/>
        <w:ind w:left="851"/>
        <w:jc w:val="both"/>
        <w:outlineLvl w:val="0"/>
        <w:rPr>
          <w:b/>
          <w:szCs w:val="22"/>
        </w:rPr>
      </w:pPr>
    </w:p>
    <w:p w:rsidR="00847656" w:rsidRPr="00385CCC" w:rsidRDefault="00847656" w:rsidP="00847656">
      <w:pPr>
        <w:numPr>
          <w:ilvl w:val="0"/>
          <w:numId w:val="1"/>
        </w:numPr>
        <w:jc w:val="both"/>
        <w:rPr>
          <w:b/>
          <w:szCs w:val="22"/>
        </w:rPr>
      </w:pPr>
      <w:r w:rsidRPr="00385CCC">
        <w:rPr>
          <w:b/>
          <w:szCs w:val="22"/>
        </w:rPr>
        <w:t>FINANCIAL IMPLICATIONS</w:t>
      </w:r>
    </w:p>
    <w:p w:rsidR="00847656" w:rsidRPr="00385CCC" w:rsidRDefault="00847656" w:rsidP="00847656">
      <w:pPr>
        <w:jc w:val="both"/>
        <w:rPr>
          <w:b/>
          <w:szCs w:val="22"/>
        </w:rPr>
      </w:pPr>
    </w:p>
    <w:p w:rsidR="00847656" w:rsidRPr="00057468" w:rsidRDefault="00847656" w:rsidP="00847656">
      <w:pPr>
        <w:keepNext/>
        <w:numPr>
          <w:ilvl w:val="1"/>
          <w:numId w:val="1"/>
        </w:numPr>
        <w:ind w:left="851" w:hanging="567"/>
        <w:jc w:val="both"/>
        <w:outlineLvl w:val="0"/>
        <w:rPr>
          <w:rFonts w:cs="Arial"/>
          <w:szCs w:val="22"/>
        </w:rPr>
      </w:pPr>
      <w:r w:rsidRPr="00CA18B7">
        <w:rPr>
          <w:rFonts w:cs="Arial"/>
          <w:szCs w:val="22"/>
        </w:rPr>
        <w:t xml:space="preserve">There are no direct financial implications arising as a result of this report. </w:t>
      </w:r>
      <w:r w:rsidR="00CA18B7">
        <w:rPr>
          <w:rFonts w:cs="Arial"/>
          <w:szCs w:val="22"/>
        </w:rPr>
        <w:t xml:space="preserve">Variances from the revised budgets for interest receivable and payable for 2018/19 were reflected </w:t>
      </w:r>
      <w:r w:rsidR="00CA18B7">
        <w:rPr>
          <w:szCs w:val="22"/>
        </w:rPr>
        <w:t>in the report “South Ribble Borough Council Budget Out-turn Report 2018/19”, presented to Cabinet on 19 June 2019.</w:t>
      </w:r>
    </w:p>
    <w:p w:rsidR="003F03C2" w:rsidRDefault="003F03C2" w:rsidP="00847656">
      <w:pPr>
        <w:spacing w:after="160" w:line="259" w:lineRule="auto"/>
        <w:ind w:left="720"/>
        <w:contextualSpacing/>
        <w:rPr>
          <w:rFonts w:ascii="Calibri" w:eastAsia="Calibri" w:hAnsi="Calibri"/>
          <w:b/>
          <w:szCs w:val="22"/>
          <w:lang w:eastAsia="en-US"/>
        </w:rPr>
      </w:pPr>
    </w:p>
    <w:p w:rsidR="00F5639B" w:rsidRPr="00847656" w:rsidRDefault="00F5639B" w:rsidP="00847656">
      <w:pPr>
        <w:spacing w:after="160" w:line="259" w:lineRule="auto"/>
        <w:ind w:left="720"/>
        <w:contextualSpacing/>
        <w:rPr>
          <w:rFonts w:ascii="Calibri" w:eastAsia="Calibri" w:hAnsi="Calibri"/>
          <w:b/>
          <w:szCs w:val="22"/>
          <w:lang w:eastAsia="en-US"/>
        </w:rPr>
      </w:pPr>
    </w:p>
    <w:p w:rsidR="00847656" w:rsidRPr="00847656" w:rsidRDefault="00847656" w:rsidP="00847656">
      <w:pPr>
        <w:numPr>
          <w:ilvl w:val="0"/>
          <w:numId w:val="1"/>
        </w:numPr>
        <w:jc w:val="both"/>
        <w:rPr>
          <w:b/>
          <w:szCs w:val="22"/>
        </w:rPr>
      </w:pPr>
      <w:r w:rsidRPr="00847656">
        <w:rPr>
          <w:b/>
          <w:szCs w:val="22"/>
        </w:rPr>
        <w:t>LEGAL IMPLICATIONS</w:t>
      </w:r>
    </w:p>
    <w:p w:rsidR="00847656" w:rsidRPr="00847656" w:rsidRDefault="00847656" w:rsidP="00847656">
      <w:pPr>
        <w:keepNext/>
        <w:ind w:left="851"/>
        <w:jc w:val="both"/>
        <w:outlineLvl w:val="0"/>
        <w:rPr>
          <w:rFonts w:cs="Arial"/>
          <w:szCs w:val="22"/>
        </w:rPr>
      </w:pPr>
    </w:p>
    <w:p w:rsidR="00847656" w:rsidRPr="00CA18B7" w:rsidRDefault="00CA18B7" w:rsidP="00847656">
      <w:pPr>
        <w:keepNext/>
        <w:numPr>
          <w:ilvl w:val="1"/>
          <w:numId w:val="1"/>
        </w:numPr>
        <w:ind w:left="851" w:hanging="567"/>
        <w:jc w:val="both"/>
        <w:outlineLvl w:val="0"/>
        <w:rPr>
          <w:rFonts w:cs="Arial"/>
          <w:szCs w:val="22"/>
        </w:rPr>
      </w:pPr>
      <w:r w:rsidRPr="00CA18B7">
        <w:rPr>
          <w:rFonts w:cs="Arial"/>
          <w:szCs w:val="22"/>
        </w:rPr>
        <w:t>Presentation of this report is required to</w:t>
      </w:r>
      <w:r w:rsidR="008A47E9">
        <w:rPr>
          <w:rFonts w:cs="Arial"/>
          <w:szCs w:val="22"/>
        </w:rPr>
        <w:t xml:space="preserve"> comply with the CIPFA Code of P</w:t>
      </w:r>
      <w:r w:rsidRPr="00CA18B7">
        <w:rPr>
          <w:rFonts w:cs="Arial"/>
          <w:szCs w:val="22"/>
        </w:rPr>
        <w:t>ractice on Treasury Management in the Public Services (2017 edition).</w:t>
      </w:r>
    </w:p>
    <w:p w:rsidR="00847656" w:rsidRDefault="00847656" w:rsidP="00847656">
      <w:pPr>
        <w:spacing w:after="160" w:line="259" w:lineRule="auto"/>
        <w:ind w:left="720"/>
        <w:contextualSpacing/>
        <w:rPr>
          <w:rFonts w:ascii="Calibri" w:eastAsia="Calibri" w:hAnsi="Calibri"/>
          <w:b/>
          <w:szCs w:val="22"/>
          <w:lang w:eastAsia="en-US"/>
        </w:rPr>
      </w:pPr>
    </w:p>
    <w:p w:rsidR="003F03C2" w:rsidRPr="00847656" w:rsidRDefault="003F03C2" w:rsidP="00847656">
      <w:pPr>
        <w:spacing w:after="160" w:line="259" w:lineRule="auto"/>
        <w:ind w:left="720"/>
        <w:contextualSpacing/>
        <w:rPr>
          <w:rFonts w:ascii="Calibri" w:eastAsia="Calibri" w:hAnsi="Calibri"/>
          <w:b/>
          <w:szCs w:val="22"/>
          <w:lang w:eastAsia="en-US"/>
        </w:rPr>
      </w:pPr>
    </w:p>
    <w:p w:rsidR="00847656" w:rsidRPr="00847656" w:rsidRDefault="00847656" w:rsidP="00847656">
      <w:pPr>
        <w:numPr>
          <w:ilvl w:val="0"/>
          <w:numId w:val="1"/>
        </w:numPr>
        <w:jc w:val="both"/>
        <w:rPr>
          <w:b/>
          <w:szCs w:val="22"/>
        </w:rPr>
      </w:pPr>
      <w:r w:rsidRPr="00847656">
        <w:rPr>
          <w:b/>
          <w:szCs w:val="22"/>
        </w:rPr>
        <w:t>COMMENTS OF THE STATUTORY FINANCE OFFICER</w:t>
      </w:r>
    </w:p>
    <w:p w:rsidR="00847656" w:rsidRPr="00847656" w:rsidRDefault="00847656" w:rsidP="00847656">
      <w:pPr>
        <w:ind w:left="720"/>
        <w:jc w:val="both"/>
        <w:rPr>
          <w:szCs w:val="22"/>
        </w:rPr>
      </w:pPr>
    </w:p>
    <w:p w:rsidR="00847656" w:rsidRPr="00CA18B7" w:rsidRDefault="00847656" w:rsidP="00847656">
      <w:pPr>
        <w:keepNext/>
        <w:numPr>
          <w:ilvl w:val="1"/>
          <w:numId w:val="1"/>
        </w:numPr>
        <w:ind w:left="851" w:hanging="567"/>
        <w:jc w:val="both"/>
        <w:outlineLvl w:val="0"/>
        <w:rPr>
          <w:rFonts w:cs="Arial"/>
          <w:szCs w:val="22"/>
        </w:rPr>
      </w:pPr>
      <w:r w:rsidRPr="00CA18B7">
        <w:rPr>
          <w:rFonts w:cs="Arial"/>
          <w:szCs w:val="22"/>
        </w:rPr>
        <w:t xml:space="preserve">There are no financial implications arising directly as a result of this report. </w:t>
      </w:r>
      <w:r w:rsidR="00CA18B7" w:rsidRPr="00CA18B7">
        <w:rPr>
          <w:rFonts w:cs="Arial"/>
          <w:szCs w:val="22"/>
        </w:rPr>
        <w:t>All financial implications in respect of treasury management activity arise as a result of the annual Treasury Strategies for 2018/19 and 2019/20 approved previously by Council. This report presents details of actual performance achieved as a result of implementing the approved strategies.</w:t>
      </w:r>
    </w:p>
    <w:p w:rsidR="00847656" w:rsidRPr="00847656" w:rsidRDefault="00847656" w:rsidP="00847656">
      <w:pPr>
        <w:ind w:left="360"/>
        <w:jc w:val="both"/>
        <w:rPr>
          <w:szCs w:val="22"/>
        </w:rPr>
      </w:pPr>
    </w:p>
    <w:p w:rsidR="00847656" w:rsidRPr="00847656" w:rsidRDefault="00847656" w:rsidP="00847656">
      <w:pPr>
        <w:ind w:left="360"/>
        <w:jc w:val="both"/>
        <w:rPr>
          <w:szCs w:val="22"/>
        </w:rPr>
      </w:pPr>
    </w:p>
    <w:p w:rsidR="00847656" w:rsidRPr="00847656" w:rsidRDefault="00847656" w:rsidP="00847656">
      <w:pPr>
        <w:numPr>
          <w:ilvl w:val="0"/>
          <w:numId w:val="1"/>
        </w:numPr>
        <w:jc w:val="both"/>
        <w:rPr>
          <w:b/>
          <w:szCs w:val="22"/>
        </w:rPr>
      </w:pPr>
      <w:r w:rsidRPr="00847656">
        <w:rPr>
          <w:b/>
          <w:szCs w:val="22"/>
        </w:rPr>
        <w:t>COMMENTS OF THE MONITORING OFFICER</w:t>
      </w:r>
    </w:p>
    <w:p w:rsidR="00847656" w:rsidRPr="00847656" w:rsidRDefault="00847656" w:rsidP="00847656">
      <w:pPr>
        <w:jc w:val="both"/>
        <w:rPr>
          <w:b/>
          <w:szCs w:val="22"/>
        </w:rPr>
      </w:pPr>
    </w:p>
    <w:p w:rsidR="00847656" w:rsidRPr="00F5639B" w:rsidRDefault="0063534A" w:rsidP="00847656">
      <w:pPr>
        <w:keepNext/>
        <w:numPr>
          <w:ilvl w:val="1"/>
          <w:numId w:val="1"/>
        </w:numPr>
        <w:ind w:left="851" w:hanging="567"/>
        <w:jc w:val="both"/>
        <w:outlineLvl w:val="0"/>
        <w:rPr>
          <w:szCs w:val="22"/>
        </w:rPr>
      </w:pPr>
      <w:r w:rsidRPr="0063534A">
        <w:rPr>
          <w:rFonts w:cs="Arial"/>
          <w:szCs w:val="22"/>
        </w:rPr>
        <w:t>Please see the Legal I</w:t>
      </w:r>
      <w:r w:rsidR="00847656" w:rsidRPr="0063534A">
        <w:rPr>
          <w:rFonts w:cs="Arial"/>
          <w:szCs w:val="22"/>
        </w:rPr>
        <w:t>mplications section</w:t>
      </w:r>
      <w:r w:rsidRPr="0063534A">
        <w:rPr>
          <w:rFonts w:cs="Arial"/>
          <w:szCs w:val="22"/>
        </w:rPr>
        <w:t xml:space="preserve"> above</w:t>
      </w:r>
      <w:r w:rsidR="00847656" w:rsidRPr="0063534A">
        <w:rPr>
          <w:rFonts w:cs="Arial"/>
          <w:szCs w:val="22"/>
        </w:rPr>
        <w:t xml:space="preserve">. </w:t>
      </w:r>
    </w:p>
    <w:p w:rsidR="00F5639B" w:rsidRPr="0063534A" w:rsidRDefault="00F5639B" w:rsidP="00F5639B">
      <w:pPr>
        <w:keepNext/>
        <w:jc w:val="both"/>
        <w:outlineLvl w:val="0"/>
        <w:rPr>
          <w:szCs w:val="22"/>
        </w:rPr>
      </w:pPr>
    </w:p>
    <w:p w:rsidR="004D3B06" w:rsidRDefault="004D3B06">
      <w:pPr>
        <w:spacing w:after="160" w:line="259" w:lineRule="auto"/>
        <w:rPr>
          <w:szCs w:val="22"/>
        </w:rPr>
      </w:pPr>
      <w:r>
        <w:rPr>
          <w:szCs w:val="22"/>
        </w:rPr>
        <w:br w:type="page"/>
      </w:r>
    </w:p>
    <w:p w:rsidR="00A31AA5" w:rsidRDefault="00A31AA5" w:rsidP="00F5639B">
      <w:pPr>
        <w:keepNext/>
        <w:ind w:left="284"/>
        <w:jc w:val="both"/>
        <w:outlineLvl w:val="0"/>
        <w:rPr>
          <w:szCs w:val="22"/>
        </w:rPr>
      </w:pPr>
    </w:p>
    <w:p w:rsidR="00847656" w:rsidRPr="002E542A" w:rsidRDefault="00847656" w:rsidP="002E542A">
      <w:pPr>
        <w:pStyle w:val="ListParagraph"/>
        <w:numPr>
          <w:ilvl w:val="0"/>
          <w:numId w:val="1"/>
        </w:numPr>
        <w:rPr>
          <w:rFonts w:ascii="Arial" w:hAnsi="Arial" w:cs="Arial"/>
          <w:b/>
        </w:rPr>
      </w:pPr>
      <w:r w:rsidRPr="002E542A">
        <w:rPr>
          <w:rFonts w:ascii="Arial" w:hAnsi="Arial" w:cs="Arial"/>
          <w:b/>
        </w:rPr>
        <w:t>OTHER IMPLICATIONS</w:t>
      </w:r>
    </w:p>
    <w:p w:rsidR="00847656" w:rsidRPr="00847656" w:rsidRDefault="00847656" w:rsidP="00847656">
      <w:pPr>
        <w:ind w:left="360"/>
        <w:jc w:val="both"/>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847656" w:rsidRPr="00847656" w:rsidTr="00B9127D">
        <w:trPr>
          <w:trHeight w:val="3660"/>
        </w:trPr>
        <w:tc>
          <w:tcPr>
            <w:tcW w:w="3544" w:type="dxa"/>
            <w:shd w:val="clear" w:color="auto" w:fill="auto"/>
          </w:tcPr>
          <w:p w:rsidR="00847656" w:rsidRDefault="00847656" w:rsidP="00847656">
            <w:pPr>
              <w:jc w:val="both"/>
              <w:rPr>
                <w:b/>
                <w:szCs w:val="22"/>
              </w:rPr>
            </w:pPr>
          </w:p>
          <w:p w:rsidR="00847656" w:rsidRPr="00847656" w:rsidRDefault="00847656" w:rsidP="00847656">
            <w:pPr>
              <w:numPr>
                <w:ilvl w:val="0"/>
                <w:numId w:val="7"/>
              </w:numPr>
              <w:ind w:left="360"/>
              <w:rPr>
                <w:b/>
                <w:szCs w:val="22"/>
              </w:rPr>
            </w:pPr>
            <w:r w:rsidRPr="00847656">
              <w:rPr>
                <w:b/>
                <w:szCs w:val="22"/>
              </w:rPr>
              <w:t xml:space="preserve">HR &amp; Organisational Development </w:t>
            </w:r>
          </w:p>
          <w:p w:rsidR="00847656" w:rsidRPr="00847656" w:rsidRDefault="00847656" w:rsidP="00847656">
            <w:pPr>
              <w:ind w:left="360"/>
              <w:rPr>
                <w:b/>
                <w:szCs w:val="22"/>
              </w:rPr>
            </w:pPr>
          </w:p>
          <w:p w:rsidR="00847656" w:rsidRPr="00847656" w:rsidRDefault="00847656" w:rsidP="00847656">
            <w:pPr>
              <w:numPr>
                <w:ilvl w:val="0"/>
                <w:numId w:val="7"/>
              </w:numPr>
              <w:ind w:left="360"/>
              <w:rPr>
                <w:b/>
                <w:szCs w:val="22"/>
              </w:rPr>
            </w:pPr>
            <w:r w:rsidRPr="00847656">
              <w:rPr>
                <w:b/>
                <w:szCs w:val="22"/>
              </w:rPr>
              <w:t>ICT / Technology</w:t>
            </w:r>
          </w:p>
          <w:p w:rsidR="00847656" w:rsidRPr="00847656" w:rsidRDefault="00847656" w:rsidP="00847656">
            <w:pPr>
              <w:ind w:left="360"/>
              <w:rPr>
                <w:b/>
                <w:szCs w:val="22"/>
              </w:rPr>
            </w:pPr>
          </w:p>
          <w:p w:rsidR="00847656" w:rsidRPr="00847656" w:rsidRDefault="00847656" w:rsidP="00847656">
            <w:pPr>
              <w:numPr>
                <w:ilvl w:val="0"/>
                <w:numId w:val="7"/>
              </w:numPr>
              <w:ind w:left="360"/>
              <w:rPr>
                <w:b/>
                <w:szCs w:val="22"/>
              </w:rPr>
            </w:pPr>
            <w:r w:rsidRPr="00847656">
              <w:rPr>
                <w:b/>
                <w:szCs w:val="22"/>
              </w:rPr>
              <w:t>Property &amp; Asset Management</w:t>
            </w:r>
          </w:p>
          <w:p w:rsidR="00847656" w:rsidRPr="00847656" w:rsidRDefault="00847656" w:rsidP="00847656">
            <w:pPr>
              <w:ind w:left="360"/>
              <w:rPr>
                <w:b/>
                <w:szCs w:val="22"/>
              </w:rPr>
            </w:pPr>
          </w:p>
          <w:p w:rsidR="00847656" w:rsidRPr="00847656" w:rsidRDefault="00847656" w:rsidP="00847656">
            <w:pPr>
              <w:numPr>
                <w:ilvl w:val="0"/>
                <w:numId w:val="7"/>
              </w:numPr>
              <w:ind w:left="360"/>
              <w:rPr>
                <w:b/>
                <w:szCs w:val="22"/>
              </w:rPr>
            </w:pPr>
            <w:r w:rsidRPr="00847656">
              <w:rPr>
                <w:b/>
                <w:szCs w:val="22"/>
              </w:rPr>
              <w:t xml:space="preserve">Risk </w:t>
            </w:r>
          </w:p>
          <w:p w:rsidR="00847656" w:rsidRPr="00847656" w:rsidRDefault="00847656" w:rsidP="00847656">
            <w:pPr>
              <w:rPr>
                <w:b/>
                <w:szCs w:val="22"/>
              </w:rPr>
            </w:pPr>
          </w:p>
          <w:p w:rsidR="00847656" w:rsidRPr="00847656" w:rsidRDefault="00847656" w:rsidP="00847656">
            <w:pPr>
              <w:numPr>
                <w:ilvl w:val="0"/>
                <w:numId w:val="7"/>
              </w:numPr>
              <w:ind w:left="360"/>
              <w:rPr>
                <w:b/>
                <w:szCs w:val="22"/>
              </w:rPr>
            </w:pPr>
            <w:r w:rsidRPr="00847656">
              <w:rPr>
                <w:b/>
                <w:szCs w:val="22"/>
              </w:rPr>
              <w:t xml:space="preserve">Equality &amp; Diversity </w:t>
            </w:r>
          </w:p>
          <w:p w:rsidR="00847656" w:rsidRPr="00847656" w:rsidRDefault="00847656" w:rsidP="00847656">
            <w:pPr>
              <w:jc w:val="both"/>
              <w:rPr>
                <w:szCs w:val="22"/>
              </w:rPr>
            </w:pPr>
          </w:p>
        </w:tc>
        <w:tc>
          <w:tcPr>
            <w:tcW w:w="6379" w:type="dxa"/>
            <w:shd w:val="clear" w:color="auto" w:fill="auto"/>
            <w:vAlign w:val="center"/>
          </w:tcPr>
          <w:p w:rsidR="00116285" w:rsidRPr="00847656" w:rsidRDefault="00057468" w:rsidP="00847656">
            <w:pPr>
              <w:jc w:val="both"/>
              <w:rPr>
                <w:szCs w:val="22"/>
              </w:rPr>
            </w:pPr>
            <w:r>
              <w:rPr>
                <w:szCs w:val="22"/>
              </w:rPr>
              <w:t>R</w:t>
            </w:r>
            <w:r w:rsidR="00116285">
              <w:rPr>
                <w:szCs w:val="22"/>
              </w:rPr>
              <w:t>isk is an important issue for Treasury Management activity, and management of risk is at the heart of the Treasury Strategy for each financial year.</w:t>
            </w:r>
          </w:p>
        </w:tc>
      </w:tr>
    </w:tbl>
    <w:p w:rsidR="00847656" w:rsidRPr="00847656" w:rsidRDefault="00847656" w:rsidP="00847656">
      <w:pPr>
        <w:jc w:val="both"/>
        <w:rPr>
          <w:i/>
          <w:color w:val="2E74B5"/>
          <w:szCs w:val="22"/>
        </w:rPr>
      </w:pPr>
    </w:p>
    <w:p w:rsidR="00847656" w:rsidRPr="00847656" w:rsidRDefault="00847656" w:rsidP="00847656">
      <w:pPr>
        <w:jc w:val="both"/>
        <w:rPr>
          <w:szCs w:val="22"/>
        </w:rPr>
      </w:pPr>
      <w:r w:rsidRPr="00847656">
        <w:rPr>
          <w:i/>
          <w:color w:val="2E74B5"/>
          <w:szCs w:val="22"/>
        </w:rPr>
        <w:t xml:space="preserve"> </w:t>
      </w:r>
      <w:r w:rsidRPr="00847656">
        <w:rPr>
          <w:szCs w:val="22"/>
        </w:rPr>
        <w:tab/>
      </w:r>
    </w:p>
    <w:p w:rsidR="00847656" w:rsidRPr="00847656" w:rsidRDefault="00847656" w:rsidP="00847656">
      <w:pPr>
        <w:numPr>
          <w:ilvl w:val="0"/>
          <w:numId w:val="1"/>
        </w:numPr>
        <w:jc w:val="both"/>
        <w:rPr>
          <w:b/>
          <w:szCs w:val="22"/>
        </w:rPr>
      </w:pPr>
      <w:r w:rsidRPr="00847656">
        <w:rPr>
          <w:b/>
          <w:szCs w:val="22"/>
        </w:rPr>
        <w:t xml:space="preserve">BACKGROUND DOCUMENTS </w:t>
      </w:r>
    </w:p>
    <w:p w:rsidR="00847656" w:rsidRPr="00847656" w:rsidRDefault="00847656" w:rsidP="00847656">
      <w:pPr>
        <w:jc w:val="both"/>
        <w:rPr>
          <w:b/>
          <w:szCs w:val="22"/>
        </w:rPr>
      </w:pPr>
    </w:p>
    <w:p w:rsidR="005F6DFF" w:rsidRPr="005F6DFF" w:rsidRDefault="005F6DFF" w:rsidP="005F6DFF">
      <w:pPr>
        <w:pStyle w:val="ListParagraph"/>
        <w:keepNext/>
        <w:numPr>
          <w:ilvl w:val="0"/>
          <w:numId w:val="9"/>
        </w:numPr>
        <w:jc w:val="both"/>
        <w:outlineLvl w:val="0"/>
        <w:rPr>
          <w:rFonts w:ascii="Arial" w:hAnsi="Arial" w:cs="Arial"/>
        </w:rPr>
      </w:pPr>
      <w:r w:rsidRPr="005F6DFF">
        <w:rPr>
          <w:rFonts w:ascii="Arial" w:hAnsi="Arial" w:cs="Arial"/>
        </w:rPr>
        <w:t>CIPFA Treasury Management in the Public Services: Code of Practice &amp; Cross-Sectoral Guidance Notes (December 2017 edition)</w:t>
      </w:r>
    </w:p>
    <w:p w:rsidR="005F6DFF" w:rsidRPr="005F6DFF" w:rsidRDefault="005F6DFF" w:rsidP="005F6DFF">
      <w:pPr>
        <w:pStyle w:val="ListParagraph"/>
        <w:keepNext/>
        <w:numPr>
          <w:ilvl w:val="0"/>
          <w:numId w:val="9"/>
        </w:numPr>
        <w:jc w:val="both"/>
        <w:outlineLvl w:val="0"/>
        <w:rPr>
          <w:rFonts w:ascii="Arial" w:hAnsi="Arial" w:cs="Arial"/>
        </w:rPr>
      </w:pPr>
      <w:r w:rsidRPr="005F6DFF">
        <w:rPr>
          <w:rFonts w:ascii="Arial" w:hAnsi="Arial" w:cs="Arial"/>
        </w:rPr>
        <w:t>CIPFA Treasury Management in the Public Services: Guidance Notes for Local Authorities (July 2018 edition)</w:t>
      </w:r>
    </w:p>
    <w:p w:rsidR="005F6DFF" w:rsidRPr="005F6DFF" w:rsidRDefault="005F6DFF" w:rsidP="005F6DFF">
      <w:pPr>
        <w:pStyle w:val="ListParagraph"/>
        <w:keepNext/>
        <w:numPr>
          <w:ilvl w:val="0"/>
          <w:numId w:val="9"/>
        </w:numPr>
        <w:jc w:val="both"/>
        <w:outlineLvl w:val="0"/>
        <w:rPr>
          <w:rFonts w:ascii="Arial" w:hAnsi="Arial" w:cs="Arial"/>
        </w:rPr>
      </w:pPr>
      <w:r w:rsidRPr="005F6DFF">
        <w:rPr>
          <w:rFonts w:ascii="Arial" w:hAnsi="Arial" w:cs="Arial"/>
        </w:rPr>
        <w:t>CIPFA Prudential Code for Capital Finance in Local Authorities (December 2017 edition)</w:t>
      </w:r>
    </w:p>
    <w:p w:rsidR="005F6DFF" w:rsidRPr="005F6DFF" w:rsidRDefault="005F6DFF" w:rsidP="005F6DFF">
      <w:pPr>
        <w:pStyle w:val="ListParagraph"/>
        <w:keepNext/>
        <w:numPr>
          <w:ilvl w:val="0"/>
          <w:numId w:val="9"/>
        </w:numPr>
        <w:jc w:val="both"/>
        <w:outlineLvl w:val="0"/>
        <w:rPr>
          <w:rFonts w:ascii="Arial" w:hAnsi="Arial" w:cs="Arial"/>
        </w:rPr>
      </w:pPr>
      <w:r w:rsidRPr="005F6DFF">
        <w:rPr>
          <w:rFonts w:ascii="Arial" w:hAnsi="Arial" w:cs="Arial"/>
        </w:rPr>
        <w:t>CIPFA Standards of Professional Practice: Treasury Management</w:t>
      </w:r>
    </w:p>
    <w:p w:rsidR="005F6DFF" w:rsidRPr="005F6DFF" w:rsidRDefault="005F6DFF" w:rsidP="005F6DFF">
      <w:pPr>
        <w:pStyle w:val="ListParagraph"/>
        <w:keepNext/>
        <w:numPr>
          <w:ilvl w:val="0"/>
          <w:numId w:val="9"/>
        </w:numPr>
        <w:jc w:val="both"/>
        <w:outlineLvl w:val="0"/>
        <w:rPr>
          <w:rFonts w:ascii="Arial" w:hAnsi="Arial" w:cs="Arial"/>
        </w:rPr>
      </w:pPr>
      <w:r w:rsidRPr="005F6DFF">
        <w:rPr>
          <w:rFonts w:ascii="Arial" w:hAnsi="Arial" w:cs="Arial"/>
        </w:rPr>
        <w:t>MHCLG Guidance on Local Government Investments</w:t>
      </w:r>
    </w:p>
    <w:p w:rsidR="00847656" w:rsidRDefault="005F6DFF" w:rsidP="005F6DFF">
      <w:pPr>
        <w:pStyle w:val="ListParagraph"/>
        <w:keepNext/>
        <w:numPr>
          <w:ilvl w:val="0"/>
          <w:numId w:val="9"/>
        </w:numPr>
        <w:jc w:val="both"/>
        <w:outlineLvl w:val="0"/>
        <w:rPr>
          <w:rFonts w:ascii="Arial" w:hAnsi="Arial" w:cs="Arial"/>
        </w:rPr>
      </w:pPr>
      <w:r w:rsidRPr="005F6DFF">
        <w:rPr>
          <w:rFonts w:ascii="Arial" w:hAnsi="Arial" w:cs="Arial"/>
        </w:rPr>
        <w:t>MHCLG Guidance on Minimum Revenue Provision</w:t>
      </w:r>
    </w:p>
    <w:p w:rsidR="008A47E9" w:rsidRDefault="008A47E9" w:rsidP="005F6DFF">
      <w:pPr>
        <w:pStyle w:val="ListParagraph"/>
        <w:keepNext/>
        <w:numPr>
          <w:ilvl w:val="0"/>
          <w:numId w:val="9"/>
        </w:numPr>
        <w:jc w:val="both"/>
        <w:outlineLvl w:val="0"/>
        <w:rPr>
          <w:rFonts w:ascii="Arial" w:hAnsi="Arial" w:cs="Arial"/>
        </w:rPr>
      </w:pPr>
      <w:r>
        <w:rPr>
          <w:rFonts w:ascii="Arial" w:hAnsi="Arial" w:cs="Arial"/>
        </w:rPr>
        <w:t>Treasury Strategy 2018/19 to 2022/23 (Council 28 February 2018)</w:t>
      </w:r>
    </w:p>
    <w:p w:rsidR="00EA4425" w:rsidRDefault="00EA4425" w:rsidP="005F6DFF">
      <w:pPr>
        <w:pStyle w:val="ListParagraph"/>
        <w:keepNext/>
        <w:numPr>
          <w:ilvl w:val="0"/>
          <w:numId w:val="9"/>
        </w:numPr>
        <w:jc w:val="both"/>
        <w:outlineLvl w:val="0"/>
        <w:rPr>
          <w:rFonts w:ascii="Arial" w:hAnsi="Arial" w:cs="Arial"/>
        </w:rPr>
      </w:pPr>
      <w:r>
        <w:rPr>
          <w:rFonts w:ascii="Arial" w:hAnsi="Arial" w:cs="Arial"/>
        </w:rPr>
        <w:t>Amended Investment Strategy Options 2018/19 (Council 5 December 2018)</w:t>
      </w:r>
    </w:p>
    <w:p w:rsidR="008A47E9" w:rsidRPr="005F6DFF" w:rsidRDefault="008A47E9" w:rsidP="005F6DFF">
      <w:pPr>
        <w:pStyle w:val="ListParagraph"/>
        <w:keepNext/>
        <w:numPr>
          <w:ilvl w:val="0"/>
          <w:numId w:val="9"/>
        </w:numPr>
        <w:jc w:val="both"/>
        <w:outlineLvl w:val="0"/>
        <w:rPr>
          <w:rFonts w:ascii="Arial" w:hAnsi="Arial" w:cs="Arial"/>
        </w:rPr>
      </w:pPr>
      <w:r>
        <w:rPr>
          <w:rFonts w:ascii="Arial" w:hAnsi="Arial" w:cs="Arial"/>
        </w:rPr>
        <w:t>Treasury Management Policy Statement 2019 (Council 27 February 2019)</w:t>
      </w:r>
    </w:p>
    <w:p w:rsidR="005F6DFF" w:rsidRPr="00847656" w:rsidRDefault="005F6DFF" w:rsidP="005F6DFF">
      <w:pPr>
        <w:keepNext/>
        <w:jc w:val="both"/>
        <w:outlineLvl w:val="0"/>
        <w:rPr>
          <w:b/>
        </w:rPr>
      </w:pPr>
    </w:p>
    <w:p w:rsidR="00847656" w:rsidRPr="00847656" w:rsidRDefault="00847656" w:rsidP="00847656">
      <w:pPr>
        <w:numPr>
          <w:ilvl w:val="0"/>
          <w:numId w:val="1"/>
        </w:numPr>
        <w:jc w:val="both"/>
        <w:rPr>
          <w:b/>
          <w:szCs w:val="22"/>
        </w:rPr>
      </w:pPr>
      <w:r w:rsidRPr="00847656">
        <w:rPr>
          <w:b/>
          <w:szCs w:val="22"/>
        </w:rPr>
        <w:t>APPENDICES</w:t>
      </w:r>
    </w:p>
    <w:p w:rsidR="00847656" w:rsidRPr="00847656" w:rsidRDefault="00847656" w:rsidP="00847656">
      <w:pPr>
        <w:ind w:left="2160" w:hanging="2160"/>
        <w:jc w:val="both"/>
        <w:rPr>
          <w:rFonts w:cs="Arial"/>
          <w:szCs w:val="22"/>
        </w:rPr>
      </w:pPr>
    </w:p>
    <w:p w:rsidR="00847656" w:rsidRDefault="00C80DE8" w:rsidP="00847656">
      <w:pPr>
        <w:tabs>
          <w:tab w:val="left" w:pos="2839"/>
        </w:tabs>
        <w:ind w:left="720"/>
        <w:rPr>
          <w:szCs w:val="22"/>
        </w:rPr>
      </w:pPr>
      <w:r>
        <w:rPr>
          <w:szCs w:val="22"/>
        </w:rPr>
        <w:t>Appendix A</w:t>
      </w:r>
      <w:r w:rsidR="00677C07">
        <w:rPr>
          <w:szCs w:val="22"/>
        </w:rPr>
        <w:t xml:space="preserve">: </w:t>
      </w:r>
      <w:r>
        <w:rPr>
          <w:szCs w:val="22"/>
        </w:rPr>
        <w:t>Investments as at 31 March 2019</w:t>
      </w:r>
    </w:p>
    <w:p w:rsidR="00C80DE8" w:rsidRDefault="00C80DE8" w:rsidP="00847656">
      <w:pPr>
        <w:tabs>
          <w:tab w:val="left" w:pos="2839"/>
        </w:tabs>
        <w:ind w:left="720"/>
        <w:rPr>
          <w:szCs w:val="22"/>
        </w:rPr>
      </w:pPr>
      <w:r>
        <w:rPr>
          <w:szCs w:val="22"/>
        </w:rPr>
        <w:t>Appendix B: Investment Counterparties 2018/19</w:t>
      </w:r>
    </w:p>
    <w:p w:rsidR="00C80DE8" w:rsidRDefault="00C80DE8" w:rsidP="00847656">
      <w:pPr>
        <w:tabs>
          <w:tab w:val="left" w:pos="2839"/>
        </w:tabs>
        <w:ind w:left="720"/>
        <w:rPr>
          <w:szCs w:val="22"/>
        </w:rPr>
      </w:pPr>
      <w:r>
        <w:rPr>
          <w:szCs w:val="22"/>
        </w:rPr>
        <w:t>Appendix C: Link Asset Services’ review of the Economy and Interest Rates</w:t>
      </w:r>
    </w:p>
    <w:p w:rsidR="002D48BF" w:rsidRDefault="002D48BF" w:rsidP="00847656">
      <w:pPr>
        <w:tabs>
          <w:tab w:val="left" w:pos="2839"/>
        </w:tabs>
        <w:ind w:left="720"/>
        <w:rPr>
          <w:szCs w:val="22"/>
        </w:rPr>
      </w:pPr>
      <w:r>
        <w:rPr>
          <w:szCs w:val="22"/>
        </w:rPr>
        <w:t>Appendix D: Investments as at 30 June 2019</w:t>
      </w:r>
    </w:p>
    <w:p w:rsidR="00485652" w:rsidRDefault="00485652" w:rsidP="00847656">
      <w:pPr>
        <w:tabs>
          <w:tab w:val="left" w:pos="2839"/>
        </w:tabs>
        <w:ind w:left="720"/>
        <w:rPr>
          <w:szCs w:val="22"/>
        </w:rPr>
      </w:pPr>
      <w:r>
        <w:rPr>
          <w:szCs w:val="22"/>
        </w:rPr>
        <w:t>Appendix E: Investment Counterparties 2019/20</w:t>
      </w:r>
    </w:p>
    <w:p w:rsidR="002D48BF" w:rsidRDefault="00485652" w:rsidP="00847656">
      <w:pPr>
        <w:tabs>
          <w:tab w:val="left" w:pos="2839"/>
        </w:tabs>
        <w:ind w:left="720"/>
        <w:rPr>
          <w:szCs w:val="22"/>
        </w:rPr>
      </w:pPr>
      <w:r>
        <w:rPr>
          <w:szCs w:val="22"/>
        </w:rPr>
        <w:t>Appendix F</w:t>
      </w:r>
      <w:r w:rsidR="002D48BF">
        <w:rPr>
          <w:szCs w:val="22"/>
        </w:rPr>
        <w:t>: Detailed economic commentary on developments during quarter ended 30 June 2019</w:t>
      </w:r>
    </w:p>
    <w:p w:rsidR="002D48BF" w:rsidRDefault="00485652" w:rsidP="00847656">
      <w:pPr>
        <w:tabs>
          <w:tab w:val="left" w:pos="2839"/>
        </w:tabs>
        <w:ind w:left="720"/>
        <w:rPr>
          <w:szCs w:val="22"/>
        </w:rPr>
      </w:pPr>
      <w:r>
        <w:rPr>
          <w:szCs w:val="22"/>
        </w:rPr>
        <w:t>Appendix G</w:t>
      </w:r>
      <w:r w:rsidR="002D48BF">
        <w:rPr>
          <w:szCs w:val="22"/>
        </w:rPr>
        <w:t>: Detailed commentary on interest rate forecasts</w:t>
      </w:r>
    </w:p>
    <w:p w:rsidR="00C80DE8" w:rsidRPr="00847656" w:rsidRDefault="00485652" w:rsidP="00847656">
      <w:pPr>
        <w:tabs>
          <w:tab w:val="left" w:pos="2839"/>
        </w:tabs>
        <w:ind w:left="720"/>
        <w:rPr>
          <w:szCs w:val="22"/>
        </w:rPr>
      </w:pPr>
      <w:r>
        <w:rPr>
          <w:szCs w:val="22"/>
        </w:rPr>
        <w:t>Appendix H</w:t>
      </w:r>
      <w:r w:rsidR="00C80DE8">
        <w:rPr>
          <w:szCs w:val="22"/>
        </w:rPr>
        <w:t>: Glossary of Terms</w:t>
      </w:r>
      <w:r w:rsidR="00C80DE8">
        <w:rPr>
          <w:szCs w:val="22"/>
        </w:rPr>
        <w:tab/>
      </w:r>
    </w:p>
    <w:p w:rsidR="004D3B06" w:rsidRDefault="004D3B06">
      <w:pPr>
        <w:spacing w:after="160" w:line="259" w:lineRule="auto"/>
        <w:rPr>
          <w:rFonts w:cs="Arial"/>
          <w:color w:val="0070C0"/>
        </w:rPr>
      </w:pPr>
      <w:r>
        <w:rPr>
          <w:rFonts w:cs="Arial"/>
          <w:color w:val="0070C0"/>
        </w:rPr>
        <w:br w:type="page"/>
      </w:r>
    </w:p>
    <w:p w:rsidR="00847656" w:rsidRPr="00847656" w:rsidRDefault="00847656" w:rsidP="00847656">
      <w:pPr>
        <w:tabs>
          <w:tab w:val="left" w:pos="2839"/>
        </w:tabs>
        <w:ind w:left="426" w:hanging="426"/>
        <w:jc w:val="both"/>
        <w:rPr>
          <w:rFonts w:cs="Arial"/>
          <w:color w:val="0070C0"/>
        </w:rPr>
      </w:pPr>
    </w:p>
    <w:p w:rsidR="00847656" w:rsidRPr="00AE0DE4" w:rsidRDefault="00847656" w:rsidP="00847656">
      <w:pPr>
        <w:tabs>
          <w:tab w:val="left" w:pos="2839"/>
        </w:tabs>
        <w:ind w:left="426" w:hanging="426"/>
        <w:jc w:val="both"/>
        <w:rPr>
          <w:rFonts w:cs="Arial"/>
        </w:rPr>
      </w:pPr>
      <w:r w:rsidRPr="00847656">
        <w:rPr>
          <w:rFonts w:cs="Arial"/>
        </w:rPr>
        <w:t xml:space="preserve">SMT Member’s Name: </w:t>
      </w:r>
      <w:r w:rsidR="006612D2" w:rsidRPr="00AE0DE4">
        <w:rPr>
          <w:rFonts w:cs="Arial"/>
        </w:rPr>
        <w:t>Jane Blundell</w:t>
      </w:r>
    </w:p>
    <w:p w:rsidR="00847656" w:rsidRPr="00847656" w:rsidRDefault="00847656" w:rsidP="00847656">
      <w:pPr>
        <w:tabs>
          <w:tab w:val="left" w:pos="2839"/>
        </w:tabs>
        <w:rPr>
          <w:rFonts w:cs="Arial"/>
        </w:rPr>
      </w:pPr>
      <w:r w:rsidRPr="00AE0DE4">
        <w:rPr>
          <w:rFonts w:cs="Arial"/>
        </w:rPr>
        <w:t xml:space="preserve">Job Title: </w:t>
      </w:r>
      <w:r w:rsidR="009C32DA">
        <w:rPr>
          <w:rFonts w:cs="Arial"/>
        </w:rPr>
        <w:t xml:space="preserve">Interim </w:t>
      </w:r>
      <w:r w:rsidR="006612D2" w:rsidRPr="00AE0DE4">
        <w:rPr>
          <w:rFonts w:cs="Arial"/>
        </w:rPr>
        <w:t>S151 Officer</w:t>
      </w:r>
    </w:p>
    <w:p w:rsidR="00847656" w:rsidRPr="00847656" w:rsidRDefault="00847656" w:rsidP="00847656">
      <w:pPr>
        <w:tabs>
          <w:tab w:val="left" w:pos="2839"/>
        </w:tabs>
        <w:ind w:left="426" w:hanging="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149"/>
        <w:gridCol w:w="1531"/>
        <w:gridCol w:w="2228"/>
      </w:tblGrid>
      <w:tr w:rsidR="00847656" w:rsidRPr="00847656" w:rsidTr="00057468">
        <w:tc>
          <w:tcPr>
            <w:tcW w:w="5149" w:type="dxa"/>
            <w:tcBorders>
              <w:right w:val="single" w:sz="4" w:space="0" w:color="auto"/>
            </w:tcBorders>
            <w:shd w:val="clear" w:color="auto" w:fill="auto"/>
          </w:tcPr>
          <w:p w:rsidR="00847656" w:rsidRPr="00847656" w:rsidRDefault="00847656" w:rsidP="00847656">
            <w:pPr>
              <w:jc w:val="both"/>
              <w:rPr>
                <w:rFonts w:cs="Arial"/>
              </w:rPr>
            </w:pPr>
            <w:r w:rsidRPr="00847656">
              <w:rPr>
                <w:rFonts w:cs="Arial"/>
              </w:rPr>
              <w:t>Report Author:</w:t>
            </w:r>
          </w:p>
        </w:tc>
        <w:tc>
          <w:tcPr>
            <w:tcW w:w="1531" w:type="dxa"/>
            <w:tcBorders>
              <w:left w:val="single" w:sz="4" w:space="0" w:color="auto"/>
              <w:bottom w:val="single" w:sz="4" w:space="0" w:color="auto"/>
              <w:right w:val="single" w:sz="4" w:space="0" w:color="auto"/>
            </w:tcBorders>
            <w:shd w:val="clear" w:color="auto" w:fill="auto"/>
          </w:tcPr>
          <w:p w:rsidR="00847656" w:rsidRPr="00847656" w:rsidRDefault="00847656" w:rsidP="00847656">
            <w:pPr>
              <w:jc w:val="both"/>
              <w:rPr>
                <w:rFonts w:cs="Arial"/>
              </w:rPr>
            </w:pPr>
            <w:r w:rsidRPr="00847656">
              <w:rPr>
                <w:rFonts w:cs="Arial"/>
              </w:rPr>
              <w:t>Telephone:</w:t>
            </w:r>
          </w:p>
        </w:tc>
        <w:tc>
          <w:tcPr>
            <w:tcW w:w="2228" w:type="dxa"/>
            <w:tcBorders>
              <w:left w:val="single" w:sz="4" w:space="0" w:color="auto"/>
              <w:bottom w:val="single" w:sz="4" w:space="0" w:color="auto"/>
            </w:tcBorders>
            <w:shd w:val="clear" w:color="auto" w:fill="auto"/>
          </w:tcPr>
          <w:p w:rsidR="00847656" w:rsidRPr="00847656" w:rsidRDefault="00847656" w:rsidP="00847656">
            <w:pPr>
              <w:jc w:val="both"/>
              <w:rPr>
                <w:rFonts w:cs="Arial"/>
              </w:rPr>
            </w:pPr>
            <w:r w:rsidRPr="00847656">
              <w:rPr>
                <w:rFonts w:cs="Arial"/>
              </w:rPr>
              <w:t>Date:</w:t>
            </w:r>
          </w:p>
        </w:tc>
      </w:tr>
      <w:tr w:rsidR="00847656" w:rsidRPr="00847656" w:rsidTr="00057468">
        <w:tc>
          <w:tcPr>
            <w:tcW w:w="5149" w:type="dxa"/>
            <w:tcBorders>
              <w:right w:val="single" w:sz="4" w:space="0" w:color="auto"/>
            </w:tcBorders>
            <w:shd w:val="clear" w:color="auto" w:fill="auto"/>
          </w:tcPr>
          <w:p w:rsidR="00847656" w:rsidRDefault="00102C89" w:rsidP="00847656">
            <w:pPr>
              <w:ind w:left="-539" w:firstLine="539"/>
              <w:jc w:val="both"/>
              <w:rPr>
                <w:rFonts w:cs="Arial"/>
              </w:rPr>
            </w:pPr>
            <w:r>
              <w:rPr>
                <w:rFonts w:cs="Arial"/>
              </w:rPr>
              <w:t>Michael Jackson</w:t>
            </w:r>
          </w:p>
          <w:p w:rsidR="00895A49" w:rsidRPr="00847656" w:rsidRDefault="00895A49" w:rsidP="00847656">
            <w:pPr>
              <w:ind w:left="-539" w:firstLine="539"/>
              <w:jc w:val="both"/>
              <w:rPr>
                <w:rFonts w:cs="Arial"/>
              </w:rPr>
            </w:pPr>
          </w:p>
        </w:tc>
        <w:tc>
          <w:tcPr>
            <w:tcW w:w="1531" w:type="dxa"/>
            <w:tcBorders>
              <w:left w:val="single" w:sz="4" w:space="0" w:color="auto"/>
              <w:right w:val="single" w:sz="4" w:space="0" w:color="auto"/>
            </w:tcBorders>
            <w:shd w:val="clear" w:color="auto" w:fill="auto"/>
          </w:tcPr>
          <w:p w:rsidR="00847656" w:rsidRPr="00847656" w:rsidRDefault="00102C89" w:rsidP="00847656">
            <w:pPr>
              <w:jc w:val="both"/>
              <w:rPr>
                <w:rFonts w:cs="Arial"/>
              </w:rPr>
            </w:pPr>
            <w:r>
              <w:rPr>
                <w:rFonts w:cs="Arial"/>
              </w:rPr>
              <w:t>01257 515490</w:t>
            </w:r>
          </w:p>
        </w:tc>
        <w:tc>
          <w:tcPr>
            <w:tcW w:w="2228" w:type="dxa"/>
            <w:tcBorders>
              <w:left w:val="single" w:sz="4" w:space="0" w:color="auto"/>
            </w:tcBorders>
            <w:shd w:val="clear" w:color="auto" w:fill="auto"/>
          </w:tcPr>
          <w:p w:rsidR="00847656" w:rsidRPr="00847656" w:rsidRDefault="00102C89" w:rsidP="00847656">
            <w:pPr>
              <w:jc w:val="both"/>
              <w:rPr>
                <w:rFonts w:cs="Arial"/>
              </w:rPr>
            </w:pPr>
            <w:r>
              <w:rPr>
                <w:rFonts w:cs="Arial"/>
              </w:rPr>
              <w:t>20/06</w:t>
            </w:r>
            <w:r w:rsidR="005D5632">
              <w:rPr>
                <w:rFonts w:cs="Arial"/>
              </w:rPr>
              <w:t>/19</w:t>
            </w:r>
          </w:p>
        </w:tc>
      </w:tr>
    </w:tbl>
    <w:p w:rsidR="00BD5CF2" w:rsidRDefault="00BD5CF2" w:rsidP="00AE1102"/>
    <w:sectPr w:rsidR="00BD5CF2" w:rsidSect="00F5639B">
      <w:pgSz w:w="11906" w:h="16838"/>
      <w:pgMar w:top="1134"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217"/>
    <w:multiLevelType w:val="hybridMultilevel"/>
    <w:tmpl w:val="D97ADB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6D3E733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0D67AC7"/>
    <w:multiLevelType w:val="multilevel"/>
    <w:tmpl w:val="0E60B5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2780B2A"/>
    <w:multiLevelType w:val="hybridMultilevel"/>
    <w:tmpl w:val="C56C75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36A1864"/>
    <w:multiLevelType w:val="hybridMultilevel"/>
    <w:tmpl w:val="ED404D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03A5977"/>
    <w:multiLevelType w:val="hybridMultilevel"/>
    <w:tmpl w:val="C6BCA90C"/>
    <w:lvl w:ilvl="0" w:tplc="08090001">
      <w:start w:val="1"/>
      <w:numFmt w:val="bullet"/>
      <w:lvlText w:val=""/>
      <w:lvlJc w:val="left"/>
      <w:pPr>
        <w:ind w:left="2224" w:hanging="360"/>
      </w:pPr>
      <w:rPr>
        <w:rFonts w:ascii="Symbol" w:hAnsi="Symbol" w:hint="default"/>
      </w:rPr>
    </w:lvl>
    <w:lvl w:ilvl="1" w:tplc="08090003" w:tentative="1">
      <w:start w:val="1"/>
      <w:numFmt w:val="bullet"/>
      <w:lvlText w:val="o"/>
      <w:lvlJc w:val="left"/>
      <w:pPr>
        <w:ind w:left="2944" w:hanging="360"/>
      </w:pPr>
      <w:rPr>
        <w:rFonts w:ascii="Courier New" w:hAnsi="Courier New" w:cs="Courier New" w:hint="default"/>
      </w:rPr>
    </w:lvl>
    <w:lvl w:ilvl="2" w:tplc="08090005" w:tentative="1">
      <w:start w:val="1"/>
      <w:numFmt w:val="bullet"/>
      <w:lvlText w:val=""/>
      <w:lvlJc w:val="left"/>
      <w:pPr>
        <w:ind w:left="3664" w:hanging="360"/>
      </w:pPr>
      <w:rPr>
        <w:rFonts w:ascii="Wingdings" w:hAnsi="Wingdings" w:hint="default"/>
      </w:rPr>
    </w:lvl>
    <w:lvl w:ilvl="3" w:tplc="08090001" w:tentative="1">
      <w:start w:val="1"/>
      <w:numFmt w:val="bullet"/>
      <w:lvlText w:val=""/>
      <w:lvlJc w:val="left"/>
      <w:pPr>
        <w:ind w:left="4384" w:hanging="360"/>
      </w:pPr>
      <w:rPr>
        <w:rFonts w:ascii="Symbol" w:hAnsi="Symbol" w:hint="default"/>
      </w:rPr>
    </w:lvl>
    <w:lvl w:ilvl="4" w:tplc="08090003" w:tentative="1">
      <w:start w:val="1"/>
      <w:numFmt w:val="bullet"/>
      <w:lvlText w:val="o"/>
      <w:lvlJc w:val="left"/>
      <w:pPr>
        <w:ind w:left="5104" w:hanging="360"/>
      </w:pPr>
      <w:rPr>
        <w:rFonts w:ascii="Courier New" w:hAnsi="Courier New" w:cs="Courier New" w:hint="default"/>
      </w:rPr>
    </w:lvl>
    <w:lvl w:ilvl="5" w:tplc="08090005" w:tentative="1">
      <w:start w:val="1"/>
      <w:numFmt w:val="bullet"/>
      <w:lvlText w:val=""/>
      <w:lvlJc w:val="left"/>
      <w:pPr>
        <w:ind w:left="5824" w:hanging="360"/>
      </w:pPr>
      <w:rPr>
        <w:rFonts w:ascii="Wingdings" w:hAnsi="Wingdings" w:hint="default"/>
      </w:rPr>
    </w:lvl>
    <w:lvl w:ilvl="6" w:tplc="08090001" w:tentative="1">
      <w:start w:val="1"/>
      <w:numFmt w:val="bullet"/>
      <w:lvlText w:val=""/>
      <w:lvlJc w:val="left"/>
      <w:pPr>
        <w:ind w:left="6544" w:hanging="360"/>
      </w:pPr>
      <w:rPr>
        <w:rFonts w:ascii="Symbol" w:hAnsi="Symbol" w:hint="default"/>
      </w:rPr>
    </w:lvl>
    <w:lvl w:ilvl="7" w:tplc="08090003" w:tentative="1">
      <w:start w:val="1"/>
      <w:numFmt w:val="bullet"/>
      <w:lvlText w:val="o"/>
      <w:lvlJc w:val="left"/>
      <w:pPr>
        <w:ind w:left="7264" w:hanging="360"/>
      </w:pPr>
      <w:rPr>
        <w:rFonts w:ascii="Courier New" w:hAnsi="Courier New" w:cs="Courier New" w:hint="default"/>
      </w:rPr>
    </w:lvl>
    <w:lvl w:ilvl="8" w:tplc="08090005" w:tentative="1">
      <w:start w:val="1"/>
      <w:numFmt w:val="bullet"/>
      <w:lvlText w:val=""/>
      <w:lvlJc w:val="left"/>
      <w:pPr>
        <w:ind w:left="7984" w:hanging="360"/>
      </w:pPr>
      <w:rPr>
        <w:rFonts w:ascii="Wingdings" w:hAnsi="Wingdings" w:hint="default"/>
      </w:rPr>
    </w:lvl>
  </w:abstractNum>
  <w:abstractNum w:abstractNumId="7" w15:restartNumberingAfterBreak="0">
    <w:nsid w:val="67334AEB"/>
    <w:multiLevelType w:val="hybridMultilevel"/>
    <w:tmpl w:val="A46E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DC0818"/>
    <w:multiLevelType w:val="multilevel"/>
    <w:tmpl w:val="0E60B5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BB12622"/>
    <w:multiLevelType w:val="hybridMultilevel"/>
    <w:tmpl w:val="C176866A"/>
    <w:lvl w:ilvl="0" w:tplc="30A8FD02">
      <w:start w:val="1"/>
      <w:numFmt w:val="lowerLetter"/>
      <w:lvlText w:val="(%1)"/>
      <w:lvlJc w:val="left"/>
      <w:pPr>
        <w:ind w:left="2062" w:hanging="1353"/>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0703E54"/>
    <w:multiLevelType w:val="hybridMultilevel"/>
    <w:tmpl w:val="D5026D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0A831E4"/>
    <w:multiLevelType w:val="hybridMultilevel"/>
    <w:tmpl w:val="797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35418"/>
    <w:multiLevelType w:val="hybridMultilevel"/>
    <w:tmpl w:val="C13CC8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12"/>
  </w:num>
  <w:num w:numId="6">
    <w:abstractNumId w:val="10"/>
  </w:num>
  <w:num w:numId="7">
    <w:abstractNumId w:val="1"/>
  </w:num>
  <w:num w:numId="8">
    <w:abstractNumId w:val="13"/>
  </w:num>
  <w:num w:numId="9">
    <w:abstractNumId w:val="11"/>
  </w:num>
  <w:num w:numId="10">
    <w:abstractNumId w:val="6"/>
  </w:num>
  <w:num w:numId="11">
    <w:abstractNumId w:val="5"/>
  </w:num>
  <w:num w:numId="12">
    <w:abstractNumId w:val="3"/>
  </w:num>
  <w:num w:numId="13">
    <w:abstractNumId w:val="8"/>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FD"/>
    <w:rsid w:val="0002245B"/>
    <w:rsid w:val="00057468"/>
    <w:rsid w:val="000742A6"/>
    <w:rsid w:val="000D55A5"/>
    <w:rsid w:val="00102C89"/>
    <w:rsid w:val="00116285"/>
    <w:rsid w:val="00167EFD"/>
    <w:rsid w:val="00185C28"/>
    <w:rsid w:val="002D48BF"/>
    <w:rsid w:val="002E542A"/>
    <w:rsid w:val="002E65B3"/>
    <w:rsid w:val="00303107"/>
    <w:rsid w:val="00385CCC"/>
    <w:rsid w:val="003912DE"/>
    <w:rsid w:val="003F03C2"/>
    <w:rsid w:val="00464389"/>
    <w:rsid w:val="00473E27"/>
    <w:rsid w:val="00485652"/>
    <w:rsid w:val="004A2F2D"/>
    <w:rsid w:val="004D3890"/>
    <w:rsid w:val="004D3B06"/>
    <w:rsid w:val="004F3982"/>
    <w:rsid w:val="00531575"/>
    <w:rsid w:val="00565C77"/>
    <w:rsid w:val="005D5632"/>
    <w:rsid w:val="005F6DFF"/>
    <w:rsid w:val="0063534A"/>
    <w:rsid w:val="00656E1C"/>
    <w:rsid w:val="006612D2"/>
    <w:rsid w:val="00677C07"/>
    <w:rsid w:val="006B1C7B"/>
    <w:rsid w:val="006E1115"/>
    <w:rsid w:val="006F6815"/>
    <w:rsid w:val="00720A9E"/>
    <w:rsid w:val="00763E38"/>
    <w:rsid w:val="0076636B"/>
    <w:rsid w:val="007A69EE"/>
    <w:rsid w:val="007C0158"/>
    <w:rsid w:val="007E7BCD"/>
    <w:rsid w:val="0080042E"/>
    <w:rsid w:val="00847656"/>
    <w:rsid w:val="00850737"/>
    <w:rsid w:val="00851598"/>
    <w:rsid w:val="00857159"/>
    <w:rsid w:val="00895A49"/>
    <w:rsid w:val="008A0EB7"/>
    <w:rsid w:val="008A47E9"/>
    <w:rsid w:val="008E7232"/>
    <w:rsid w:val="009C32DA"/>
    <w:rsid w:val="009D2F09"/>
    <w:rsid w:val="009E7DA2"/>
    <w:rsid w:val="00A31AA5"/>
    <w:rsid w:val="00A5653A"/>
    <w:rsid w:val="00AE0DE4"/>
    <w:rsid w:val="00AE1102"/>
    <w:rsid w:val="00B46571"/>
    <w:rsid w:val="00B827C7"/>
    <w:rsid w:val="00B9127D"/>
    <w:rsid w:val="00BD5CF2"/>
    <w:rsid w:val="00C05C56"/>
    <w:rsid w:val="00C07517"/>
    <w:rsid w:val="00C520A5"/>
    <w:rsid w:val="00C80DE8"/>
    <w:rsid w:val="00CA18B7"/>
    <w:rsid w:val="00D618D0"/>
    <w:rsid w:val="00DD7C9F"/>
    <w:rsid w:val="00DE6A1C"/>
    <w:rsid w:val="00DF2528"/>
    <w:rsid w:val="00E028E9"/>
    <w:rsid w:val="00E04A63"/>
    <w:rsid w:val="00E76887"/>
    <w:rsid w:val="00EA4425"/>
    <w:rsid w:val="00F55AEC"/>
    <w:rsid w:val="00F5639B"/>
    <w:rsid w:val="00F6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DB8B1-B34D-4300-BEA5-BCE789BB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FD"/>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FD"/>
    <w:pPr>
      <w:spacing w:after="160" w:line="259" w:lineRule="auto"/>
      <w:ind w:left="720"/>
      <w:contextualSpacing/>
    </w:pPr>
    <w:rPr>
      <w:rFonts w:ascii="Calibri" w:eastAsia="Calibri" w:hAnsi="Calibri"/>
      <w:szCs w:val="22"/>
      <w:lang w:eastAsia="en-US"/>
    </w:rPr>
  </w:style>
  <w:style w:type="character" w:styleId="Emphasis">
    <w:name w:val="Emphasis"/>
    <w:basedOn w:val="DefaultParagraphFont"/>
    <w:uiPriority w:val="20"/>
    <w:qFormat/>
    <w:rsid w:val="00167EFD"/>
    <w:rPr>
      <w:i/>
      <w:iCs/>
    </w:rPr>
  </w:style>
  <w:style w:type="paragraph" w:styleId="BalloonText">
    <w:name w:val="Balloon Text"/>
    <w:basedOn w:val="Normal"/>
    <w:link w:val="BalloonTextChar"/>
    <w:uiPriority w:val="99"/>
    <w:semiHidden/>
    <w:unhideWhenUsed/>
    <w:rsid w:val="004A2F2D"/>
    <w:rPr>
      <w:rFonts w:ascii="Tahoma" w:hAnsi="Tahoma" w:cs="Tahoma"/>
      <w:sz w:val="16"/>
      <w:szCs w:val="16"/>
    </w:rPr>
  </w:style>
  <w:style w:type="character" w:customStyle="1" w:styleId="BalloonTextChar">
    <w:name w:val="Balloon Text Char"/>
    <w:basedOn w:val="DefaultParagraphFont"/>
    <w:link w:val="BalloonText"/>
    <w:uiPriority w:val="99"/>
    <w:semiHidden/>
    <w:rsid w:val="004A2F2D"/>
    <w:rPr>
      <w:rFonts w:ascii="Tahoma" w:eastAsia="Times New Roman" w:hAnsi="Tahoma" w:cs="Tahoma"/>
      <w:sz w:val="16"/>
      <w:szCs w:val="16"/>
      <w:lang w:eastAsia="en-GB"/>
    </w:rPr>
  </w:style>
  <w:style w:type="paragraph" w:styleId="NoSpacing">
    <w:name w:val="No Spacing"/>
    <w:uiPriority w:val="1"/>
    <w:qFormat/>
    <w:rsid w:val="00A5653A"/>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2335">
      <w:bodyDiv w:val="1"/>
      <w:marLeft w:val="0"/>
      <w:marRight w:val="0"/>
      <w:marTop w:val="0"/>
      <w:marBottom w:val="0"/>
      <w:divBdr>
        <w:top w:val="none" w:sz="0" w:space="0" w:color="auto"/>
        <w:left w:val="none" w:sz="0" w:space="0" w:color="auto"/>
        <w:bottom w:val="none" w:sz="0" w:space="0" w:color="auto"/>
        <w:right w:val="none" w:sz="0" w:space="0" w:color="auto"/>
      </w:divBdr>
    </w:div>
    <w:div w:id="334303659">
      <w:bodyDiv w:val="1"/>
      <w:marLeft w:val="0"/>
      <w:marRight w:val="0"/>
      <w:marTop w:val="0"/>
      <w:marBottom w:val="0"/>
      <w:divBdr>
        <w:top w:val="none" w:sz="0" w:space="0" w:color="auto"/>
        <w:left w:val="none" w:sz="0" w:space="0" w:color="auto"/>
        <w:bottom w:val="none" w:sz="0" w:space="0" w:color="auto"/>
        <w:right w:val="none" w:sz="0" w:space="0" w:color="auto"/>
      </w:divBdr>
    </w:div>
    <w:div w:id="464397189">
      <w:bodyDiv w:val="1"/>
      <w:marLeft w:val="0"/>
      <w:marRight w:val="0"/>
      <w:marTop w:val="0"/>
      <w:marBottom w:val="0"/>
      <w:divBdr>
        <w:top w:val="none" w:sz="0" w:space="0" w:color="auto"/>
        <w:left w:val="none" w:sz="0" w:space="0" w:color="auto"/>
        <w:bottom w:val="none" w:sz="0" w:space="0" w:color="auto"/>
        <w:right w:val="none" w:sz="0" w:space="0" w:color="auto"/>
      </w:divBdr>
    </w:div>
    <w:div w:id="629752444">
      <w:bodyDiv w:val="1"/>
      <w:marLeft w:val="0"/>
      <w:marRight w:val="0"/>
      <w:marTop w:val="0"/>
      <w:marBottom w:val="0"/>
      <w:divBdr>
        <w:top w:val="none" w:sz="0" w:space="0" w:color="auto"/>
        <w:left w:val="none" w:sz="0" w:space="0" w:color="auto"/>
        <w:bottom w:val="none" w:sz="0" w:space="0" w:color="auto"/>
        <w:right w:val="none" w:sz="0" w:space="0" w:color="auto"/>
      </w:divBdr>
    </w:div>
    <w:div w:id="695080717">
      <w:bodyDiv w:val="1"/>
      <w:marLeft w:val="0"/>
      <w:marRight w:val="0"/>
      <w:marTop w:val="0"/>
      <w:marBottom w:val="0"/>
      <w:divBdr>
        <w:top w:val="none" w:sz="0" w:space="0" w:color="auto"/>
        <w:left w:val="none" w:sz="0" w:space="0" w:color="auto"/>
        <w:bottom w:val="none" w:sz="0" w:space="0" w:color="auto"/>
        <w:right w:val="none" w:sz="0" w:space="0" w:color="auto"/>
      </w:divBdr>
    </w:div>
    <w:div w:id="1188103012">
      <w:bodyDiv w:val="1"/>
      <w:marLeft w:val="0"/>
      <w:marRight w:val="0"/>
      <w:marTop w:val="0"/>
      <w:marBottom w:val="0"/>
      <w:divBdr>
        <w:top w:val="none" w:sz="0" w:space="0" w:color="auto"/>
        <w:left w:val="none" w:sz="0" w:space="0" w:color="auto"/>
        <w:bottom w:val="none" w:sz="0" w:space="0" w:color="auto"/>
        <w:right w:val="none" w:sz="0" w:space="0" w:color="auto"/>
      </w:divBdr>
    </w:div>
    <w:div w:id="1455295558">
      <w:bodyDiv w:val="1"/>
      <w:marLeft w:val="0"/>
      <w:marRight w:val="0"/>
      <w:marTop w:val="0"/>
      <w:marBottom w:val="0"/>
      <w:divBdr>
        <w:top w:val="none" w:sz="0" w:space="0" w:color="auto"/>
        <w:left w:val="none" w:sz="0" w:space="0" w:color="auto"/>
        <w:bottom w:val="none" w:sz="0" w:space="0" w:color="auto"/>
        <w:right w:val="none" w:sz="0" w:space="0" w:color="auto"/>
      </w:divBdr>
    </w:div>
    <w:div w:id="1563443188">
      <w:bodyDiv w:val="1"/>
      <w:marLeft w:val="0"/>
      <w:marRight w:val="0"/>
      <w:marTop w:val="0"/>
      <w:marBottom w:val="0"/>
      <w:divBdr>
        <w:top w:val="none" w:sz="0" w:space="0" w:color="auto"/>
        <w:left w:val="none" w:sz="0" w:space="0" w:color="auto"/>
        <w:bottom w:val="none" w:sz="0" w:space="0" w:color="auto"/>
        <w:right w:val="none" w:sz="0" w:space="0" w:color="auto"/>
      </w:divBdr>
    </w:div>
    <w:div w:id="1601403387">
      <w:bodyDiv w:val="1"/>
      <w:marLeft w:val="0"/>
      <w:marRight w:val="0"/>
      <w:marTop w:val="0"/>
      <w:marBottom w:val="0"/>
      <w:divBdr>
        <w:top w:val="none" w:sz="0" w:space="0" w:color="auto"/>
        <w:left w:val="none" w:sz="0" w:space="0" w:color="auto"/>
        <w:bottom w:val="none" w:sz="0" w:space="0" w:color="auto"/>
        <w:right w:val="none" w:sz="0" w:space="0" w:color="auto"/>
      </w:divBdr>
    </w:div>
    <w:div w:id="1616935811">
      <w:bodyDiv w:val="1"/>
      <w:marLeft w:val="0"/>
      <w:marRight w:val="0"/>
      <w:marTop w:val="0"/>
      <w:marBottom w:val="0"/>
      <w:divBdr>
        <w:top w:val="none" w:sz="0" w:space="0" w:color="auto"/>
        <w:left w:val="none" w:sz="0" w:space="0" w:color="auto"/>
        <w:bottom w:val="none" w:sz="0" w:space="0" w:color="auto"/>
        <w:right w:val="none" w:sz="0" w:space="0" w:color="auto"/>
      </w:divBdr>
    </w:div>
    <w:div w:id="19967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Kitto Lisa</dc:creator>
  <cp:keywords/>
  <dc:description/>
  <cp:lastModifiedBy>Blundell, Jane</cp:lastModifiedBy>
  <cp:revision>5</cp:revision>
  <dcterms:created xsi:type="dcterms:W3CDTF">2019-08-01T11:00:00Z</dcterms:created>
  <dcterms:modified xsi:type="dcterms:W3CDTF">2019-08-07T11:15:00Z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212479230</vt:i4>
  </property>
  <property fmtid="{D5CDD505-2E9C-101B-9397-08002B2CF9AE}" pid="4" name="_EmailSubject">
    <vt:lpwstr>Treasury Management Annual Report 2018-19 v2 JB</vt:lpwstr>
  </property>
  <property fmtid="{D5CDD505-2E9C-101B-9397-08002B2CF9AE}" pid="5" name="_AuthorEmail">
    <vt:lpwstr>michael.jackson@chorley.gov.uk</vt:lpwstr>
  </property>
  <property fmtid="{D5CDD505-2E9C-101B-9397-08002B2CF9AE}" pid="6" name="_AuthorEmailDisplayName">
    <vt:lpwstr>Michael Jackson</vt:lpwstr>
  </property>
  <property fmtid="{D5CDD505-2E9C-101B-9397-08002B2CF9AE}" pid="7" name="_PreviousAdHocReviewCycleID">
    <vt:i4>-190173351</vt:i4>
  </property>
  <property fmtid="{D5CDD505-2E9C-101B-9397-08002B2CF9AE}" pid="8" name="_ReviewingToolsShownOnce">
    <vt:lpwstr/>
  </property>
</Properties>
</file>